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4AF5">
      <w:pPr>
        <w:rPr>
          <w:color w:val="auto"/>
        </w:rPr>
      </w:pPr>
      <w:r>
        <w:rPr>
          <w:rFonts w:hint="eastAsia" w:ascii="黑体" w:eastAsia="黑体"/>
          <w:color w:val="auto"/>
          <w:sz w:val="28"/>
        </w:rPr>
        <w:t>HZ</w:t>
      </w:r>
      <w:r>
        <w:rPr>
          <w:rFonts w:ascii="黑体" w:eastAsia="黑体"/>
          <w:color w:val="auto"/>
          <w:sz w:val="28"/>
        </w:rPr>
        <w:t>CX-01-</w:t>
      </w:r>
      <w:r>
        <w:rPr>
          <w:rFonts w:hint="eastAsia" w:ascii="黑体" w:eastAsia="黑体"/>
          <w:color w:val="auto"/>
          <w:sz w:val="28"/>
        </w:rPr>
        <w:t>3-</w:t>
      </w:r>
      <w:r>
        <w:rPr>
          <w:rFonts w:hint="eastAsia" w:ascii="黑体" w:eastAsia="黑体"/>
          <w:color w:val="auto"/>
          <w:sz w:val="28"/>
          <w:lang w:val="en-US" w:eastAsia="zh-CN"/>
        </w:rPr>
        <w:t>D</w:t>
      </w:r>
      <w:r>
        <w:rPr>
          <w:rFonts w:hint="eastAsia" w:ascii="黑体" w:eastAsia="黑体"/>
          <w:color w:val="auto"/>
          <w:sz w:val="28"/>
        </w:rPr>
        <w:t>/</w:t>
      </w:r>
      <w:r>
        <w:rPr>
          <w:rFonts w:hint="eastAsia" w:ascii="黑体" w:eastAsia="黑体"/>
          <w:color w:val="auto"/>
          <w:sz w:val="28"/>
          <w:lang w:val="en-US" w:eastAsia="zh-CN"/>
        </w:rPr>
        <w:t>1</w:t>
      </w:r>
      <w:r>
        <w:rPr>
          <w:rFonts w:hint="eastAsia" w:ascii="黑体" w:eastAsia="黑体"/>
          <w:color w:val="auto"/>
          <w:sz w:val="28"/>
        </w:rPr>
        <w:t xml:space="preserve">                       </w:t>
      </w:r>
      <w:r>
        <w:rPr>
          <w:rFonts w:hint="eastAsia" w:ascii="黑体" w:eastAsia="黑体"/>
          <w:color w:val="auto"/>
          <w:sz w:val="28"/>
          <w:lang w:val="en-US" w:eastAsia="zh-CN"/>
        </w:rPr>
        <w:t xml:space="preserve">   </w:t>
      </w:r>
      <w:r>
        <w:rPr>
          <w:rFonts w:hint="eastAsia" w:ascii="黑体" w:eastAsia="黑体"/>
          <w:color w:val="auto"/>
          <w:sz w:val="28"/>
        </w:rPr>
        <w:t xml:space="preserve"> 建档编号：</w:t>
      </w:r>
    </w:p>
    <w:p w14:paraId="2C2B469F">
      <w:pPr>
        <w:widowControl/>
        <w:ind w:right="420"/>
        <w:jc w:val="right"/>
        <w:rPr>
          <w:rFonts w:ascii="宋体" w:hAnsi="宋体" w:cs="宋体"/>
          <w:color w:val="auto"/>
          <w:kern w:val="0"/>
          <w:sz w:val="24"/>
          <w:szCs w:val="24"/>
        </w:rPr>
      </w:pPr>
      <w:r>
        <w:rPr>
          <w:rFonts w:hint="eastAsia" w:ascii="黑体" w:eastAsia="黑体"/>
          <w:color w:val="auto"/>
          <w:sz w:val="28"/>
        </w:rPr>
        <w:t xml:space="preserve"> </w:t>
      </w:r>
    </w:p>
    <w:p w14:paraId="08840148">
      <w:pPr>
        <w:spacing w:before="240" w:line="300" w:lineRule="auto"/>
        <w:rPr>
          <w:rFonts w:hint="eastAsia" w:ascii="黑体" w:eastAsia="黑体"/>
          <w:color w:val="auto"/>
          <w:spacing w:val="60"/>
          <w:sz w:val="72"/>
          <w:szCs w:val="72"/>
        </w:rPr>
      </w:pPr>
    </w:p>
    <w:p w14:paraId="12E55E26">
      <w:pPr>
        <w:spacing w:before="240" w:line="300" w:lineRule="auto"/>
        <w:jc w:val="center"/>
        <w:rPr>
          <w:rFonts w:hint="eastAsia" w:ascii="黑体" w:eastAsia="黑体"/>
          <w:color w:val="auto"/>
          <w:spacing w:val="60"/>
          <w:sz w:val="72"/>
          <w:szCs w:val="72"/>
        </w:rPr>
      </w:pPr>
      <w:bookmarkStart w:id="0" w:name="_GoBack"/>
      <w:bookmarkEnd w:id="0"/>
    </w:p>
    <w:p w14:paraId="1D2D58EE">
      <w:pPr>
        <w:spacing w:before="240" w:line="300" w:lineRule="auto"/>
        <w:jc w:val="center"/>
        <w:rPr>
          <w:rFonts w:hint="eastAsia" w:ascii="黑体" w:eastAsia="黑体"/>
          <w:color w:val="auto"/>
          <w:spacing w:val="60"/>
          <w:sz w:val="72"/>
          <w:szCs w:val="72"/>
        </w:rPr>
      </w:pPr>
      <w:r>
        <w:rPr>
          <w:rFonts w:hint="eastAsia" w:ascii="黑体" w:eastAsia="黑体"/>
          <w:color w:val="auto"/>
          <w:spacing w:val="60"/>
          <w:sz w:val="60"/>
          <w:szCs w:val="60"/>
        </w:rPr>
        <w:t>管理体系</w:t>
      </w:r>
      <w:r>
        <w:rPr>
          <w:rFonts w:hint="eastAsia" w:ascii="黑体" w:eastAsia="黑体"/>
          <w:color w:val="auto"/>
          <w:spacing w:val="60"/>
          <w:sz w:val="60"/>
          <w:szCs w:val="60"/>
          <w:lang w:val="en-US" w:eastAsia="zh-CN"/>
        </w:rPr>
        <w:t>、</w:t>
      </w:r>
      <w:r>
        <w:rPr>
          <w:rFonts w:hint="eastAsia" w:ascii="黑体" w:eastAsia="黑体"/>
          <w:color w:val="auto"/>
          <w:spacing w:val="60"/>
          <w:sz w:val="60"/>
          <w:szCs w:val="60"/>
        </w:rPr>
        <w:t>服务认证合同书</w:t>
      </w:r>
    </w:p>
    <w:p w14:paraId="74DBF74D">
      <w:pPr>
        <w:spacing w:before="240" w:line="300" w:lineRule="auto"/>
        <w:jc w:val="center"/>
        <w:rPr>
          <w:rFonts w:hint="eastAsia" w:ascii="黑体" w:eastAsia="黑体"/>
          <w:color w:val="auto"/>
          <w:spacing w:val="60"/>
          <w:sz w:val="72"/>
          <w:szCs w:val="7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7493"/>
      </w:tblGrid>
      <w:tr w14:paraId="107E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noWrap w:val="0"/>
            <w:vAlign w:val="center"/>
          </w:tcPr>
          <w:p w14:paraId="69386D47">
            <w:pPr>
              <w:spacing w:line="360" w:lineRule="auto"/>
              <w:ind w:firstLine="275" w:firstLineChars="98"/>
              <w:rPr>
                <w:rFonts w:hint="eastAsia" w:ascii="黑体" w:hAnsi="黑体" w:eastAsia="黑体"/>
                <w:b/>
                <w:color w:val="auto"/>
                <w:sz w:val="24"/>
                <w:szCs w:val="24"/>
              </w:rPr>
            </w:pPr>
            <w:r>
              <w:rPr>
                <w:rFonts w:hint="eastAsia" w:ascii="黑体" w:hAnsi="黑体" w:eastAsia="黑体"/>
                <w:b/>
                <w:color w:val="auto"/>
                <w:sz w:val="28"/>
                <w:szCs w:val="28"/>
              </w:rPr>
              <w:t>认证类型</w:t>
            </w:r>
          </w:p>
        </w:tc>
        <w:tc>
          <w:tcPr>
            <w:tcW w:w="7493" w:type="dxa"/>
            <w:noWrap w:val="0"/>
            <w:vAlign w:val="center"/>
          </w:tcPr>
          <w:p w14:paraId="094F8203">
            <w:pPr>
              <w:jc w:val="center"/>
              <w:rPr>
                <w:rFonts w:hint="eastAsia" w:ascii="黑体" w:hAnsi="黑体" w:eastAsia="黑体"/>
                <w:b/>
                <w:color w:val="auto"/>
                <w:sz w:val="24"/>
                <w:szCs w:val="24"/>
                <w:lang w:eastAsia="zh-CN"/>
              </w:rPr>
            </w:pPr>
            <w:r>
              <w:rPr>
                <w:rFonts w:hint="eastAsia" w:ascii="黑体" w:hAnsi="黑体" w:eastAsia="黑体"/>
                <w:b/>
                <w:color w:val="auto"/>
                <w:sz w:val="32"/>
                <w:szCs w:val="32"/>
              </w:rPr>
              <w:t xml:space="preserve">认 证 </w:t>
            </w:r>
            <w:r>
              <w:rPr>
                <w:rFonts w:hint="eastAsia" w:ascii="黑体" w:hAnsi="黑体" w:eastAsia="黑体"/>
                <w:b/>
                <w:color w:val="auto"/>
                <w:sz w:val="32"/>
                <w:szCs w:val="32"/>
                <w:lang w:eastAsia="zh-CN"/>
              </w:rPr>
              <w:t>领</w:t>
            </w:r>
            <w:r>
              <w:rPr>
                <w:rFonts w:hint="eastAsia" w:ascii="黑体" w:hAnsi="黑体" w:eastAsia="黑体"/>
                <w:b/>
                <w:color w:val="auto"/>
                <w:sz w:val="32"/>
                <w:szCs w:val="32"/>
                <w:lang w:val="en-US" w:eastAsia="zh-CN"/>
              </w:rPr>
              <w:t xml:space="preserve"> </w:t>
            </w:r>
            <w:r>
              <w:rPr>
                <w:rFonts w:hint="eastAsia" w:ascii="黑体" w:hAnsi="黑体" w:eastAsia="黑体"/>
                <w:b/>
                <w:color w:val="auto"/>
                <w:sz w:val="32"/>
                <w:szCs w:val="32"/>
                <w:lang w:eastAsia="zh-CN"/>
              </w:rPr>
              <w:t>域</w:t>
            </w:r>
          </w:p>
        </w:tc>
      </w:tr>
      <w:tr w14:paraId="5968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noWrap w:val="0"/>
            <w:vAlign w:val="center"/>
          </w:tcPr>
          <w:p w14:paraId="2A9559AC">
            <w:pPr>
              <w:spacing w:line="360" w:lineRule="auto"/>
              <w:rPr>
                <w:rFonts w:hint="eastAsia" w:ascii="宋体" w:hAnsi="宋体" w:eastAsia="宋体" w:cs="宋体"/>
                <w:bCs/>
                <w:color w:val="auto"/>
                <w:sz w:val="24"/>
                <w:szCs w:val="21"/>
                <w:lang w:eastAsia="zh-CN"/>
              </w:rPr>
            </w:pPr>
            <w:r>
              <w:rPr>
                <w:rFonts w:hint="eastAsia" w:ascii="宋体" w:hAnsi="宋体" w:eastAsia="宋体" w:cs="宋体"/>
                <w:bCs/>
                <w:color w:val="auto"/>
                <w:sz w:val="24"/>
                <w:szCs w:val="21"/>
                <w:lang w:eastAsia="zh-CN"/>
              </w:rPr>
              <w:t>（）初次认证</w:t>
            </w:r>
          </w:p>
        </w:tc>
        <w:tc>
          <w:tcPr>
            <w:tcW w:w="7493" w:type="dxa"/>
            <w:noWrap w:val="0"/>
            <w:vAlign w:val="center"/>
          </w:tcPr>
          <w:p w14:paraId="25C13642">
            <w:pPr>
              <w:spacing w:line="360" w:lineRule="auto"/>
              <w:jc w:val="center"/>
              <w:rPr>
                <w:rFonts w:hint="eastAsia" w:ascii="宋体" w:hAnsi="宋体" w:eastAsia="宋体" w:cs="宋体"/>
                <w:bCs/>
                <w:color w:val="auto"/>
                <w:spacing w:val="-12"/>
                <w:sz w:val="22"/>
                <w:szCs w:val="20"/>
              </w:rPr>
            </w:pP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QMS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EMS </w:t>
            </w:r>
            <w:r>
              <w:rPr>
                <w:rFonts w:hint="eastAsia" w:ascii="宋体" w:hAnsi="宋体" w:eastAsia="宋体" w:cs="宋体"/>
                <w:bCs/>
                <w:color w:val="auto"/>
                <w:spacing w:val="-12"/>
                <w:sz w:val="22"/>
                <w:szCs w:val="20"/>
                <w:lang w:eastAsia="zh-CN"/>
              </w:rPr>
              <w:t>（）</w:t>
            </w:r>
            <w:r>
              <w:rPr>
                <w:rFonts w:hint="eastAsia" w:ascii="宋体" w:hAnsi="宋体" w:eastAsia="宋体" w:cs="宋体"/>
                <w:bCs/>
                <w:color w:val="auto"/>
                <w:spacing w:val="-12"/>
                <w:sz w:val="22"/>
                <w:szCs w:val="20"/>
              </w:rPr>
              <w:t>OHSMS</w:t>
            </w:r>
            <w:r>
              <w:rPr>
                <w:rFonts w:hint="eastAsia" w:ascii="宋体" w:hAnsi="宋体" w:eastAsia="宋体" w:cs="宋体"/>
                <w:bCs/>
                <w:color w:val="auto"/>
                <w:spacing w:val="-12"/>
                <w:sz w:val="22"/>
                <w:szCs w:val="20"/>
                <w:lang w:val="en-US" w:eastAsia="zh-CN"/>
              </w:rPr>
              <w:t xml:space="preserve">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lang w:val="en-US" w:eastAsia="zh-CN"/>
              </w:rPr>
              <w:t>I</w:t>
            </w:r>
            <w:r>
              <w:rPr>
                <w:rFonts w:hint="eastAsia" w:ascii="宋体" w:hAnsi="宋体" w:eastAsia="宋体" w:cs="宋体"/>
                <w:bCs/>
                <w:color w:val="auto"/>
                <w:spacing w:val="-12"/>
                <w:sz w:val="22"/>
                <w:szCs w:val="20"/>
              </w:rPr>
              <w:t xml:space="preserve">SMS </w:t>
            </w:r>
            <w:r>
              <w:rPr>
                <w:rFonts w:hint="eastAsia" w:ascii="宋体" w:hAnsi="宋体" w:eastAsia="宋体" w:cs="宋体"/>
                <w:bCs/>
                <w:color w:val="auto"/>
                <w:sz w:val="22"/>
                <w:szCs w:val="20"/>
                <w:lang w:eastAsia="zh-CN"/>
              </w:rPr>
              <w:t>（）</w:t>
            </w:r>
            <w:r>
              <w:rPr>
                <w:rFonts w:hint="eastAsia" w:ascii="宋体" w:hAnsi="宋体" w:cs="宋体"/>
                <w:bCs/>
                <w:color w:val="auto"/>
                <w:spacing w:val="-12"/>
                <w:sz w:val="22"/>
                <w:szCs w:val="20"/>
                <w:lang w:val="en-US" w:eastAsia="zh-CN"/>
              </w:rPr>
              <w:t>ITSMS</w:t>
            </w:r>
            <w:r>
              <w:rPr>
                <w:rFonts w:hint="eastAsia" w:ascii="宋体" w:hAnsi="宋体" w:eastAsia="宋体" w:cs="宋体"/>
                <w:bCs/>
                <w:color w:val="auto"/>
                <w:spacing w:val="-12"/>
                <w:sz w:val="22"/>
                <w:szCs w:val="20"/>
              </w:rPr>
              <w:t xml:space="preserve">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HACCP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FSMS </w:t>
            </w:r>
            <w:r>
              <w:rPr>
                <w:rFonts w:hint="eastAsia" w:ascii="宋体" w:hAnsi="宋体" w:eastAsia="宋体" w:cs="宋体"/>
                <w:bCs/>
                <w:color w:val="auto"/>
                <w:spacing w:val="-12"/>
                <w:sz w:val="22"/>
                <w:szCs w:val="20"/>
                <w:lang w:eastAsia="zh-CN"/>
              </w:rPr>
              <w:t>（）</w:t>
            </w:r>
            <w:r>
              <w:rPr>
                <w:rFonts w:hint="eastAsia" w:ascii="宋体" w:hAnsi="宋体" w:eastAsia="宋体" w:cs="宋体"/>
                <w:bCs/>
                <w:color w:val="auto"/>
                <w:spacing w:val="-12"/>
                <w:sz w:val="22"/>
                <w:szCs w:val="20"/>
              </w:rPr>
              <w:t>SC</w:t>
            </w:r>
          </w:p>
          <w:p w14:paraId="56112F7D">
            <w:pPr>
              <w:spacing w:line="360" w:lineRule="auto"/>
              <w:jc w:val="center"/>
              <w:rPr>
                <w:rFonts w:hint="default" w:ascii="宋体" w:hAnsi="宋体" w:eastAsia="宋体" w:cs="宋体"/>
                <w:bCs/>
                <w:color w:val="auto"/>
                <w:spacing w:val="-12"/>
                <w:sz w:val="22"/>
                <w:szCs w:val="20"/>
                <w:u w:val="single"/>
                <w:lang w:val="en-US" w:eastAsia="zh-CN"/>
              </w:rPr>
            </w:pPr>
            <w:r>
              <w:rPr>
                <w:rFonts w:hint="eastAsia" w:ascii="宋体" w:hAnsi="宋体" w:eastAsia="宋体" w:cs="宋体"/>
                <w:bCs/>
                <w:color w:val="auto"/>
                <w:sz w:val="24"/>
                <w:szCs w:val="21"/>
                <w:lang w:eastAsia="zh-CN"/>
              </w:rPr>
              <w:t>（）</w:t>
            </w:r>
            <w:r>
              <w:rPr>
                <w:rFonts w:hint="eastAsia" w:ascii="宋体" w:hAnsi="宋体" w:eastAsia="宋体" w:cs="宋体"/>
                <w:bCs/>
                <w:color w:val="auto"/>
                <w:sz w:val="24"/>
                <w:szCs w:val="21"/>
                <w:lang w:val="en-US" w:eastAsia="zh-CN"/>
              </w:rPr>
              <w:t>EnMS</w:t>
            </w:r>
            <w:r>
              <w:rPr>
                <w:rFonts w:hint="eastAsia" w:ascii="宋体" w:hAnsi="宋体" w:eastAsia="宋体" w:cs="宋体"/>
                <w:bCs/>
                <w:color w:val="auto"/>
                <w:sz w:val="24"/>
                <w:szCs w:val="21"/>
                <w:lang w:eastAsia="zh-CN"/>
              </w:rPr>
              <w:t>（）</w:t>
            </w:r>
            <w:r>
              <w:rPr>
                <w:rFonts w:hint="eastAsia" w:ascii="宋体" w:hAnsi="宋体" w:eastAsia="宋体" w:cs="宋体"/>
                <w:bCs/>
                <w:color w:val="auto"/>
                <w:spacing w:val="-4"/>
                <w:sz w:val="24"/>
                <w:szCs w:val="21"/>
              </w:rPr>
              <w:t>其它：</w:t>
            </w:r>
            <w:r>
              <w:rPr>
                <w:rFonts w:hint="eastAsia" w:ascii="宋体" w:hAnsi="宋体" w:eastAsia="宋体" w:cs="宋体"/>
                <w:bCs/>
                <w:color w:val="auto"/>
                <w:spacing w:val="-4"/>
                <w:sz w:val="24"/>
                <w:szCs w:val="21"/>
                <w:u w:val="single"/>
                <w:lang w:val="en-US" w:eastAsia="zh-CN"/>
              </w:rPr>
              <w:t xml:space="preserve">     </w:t>
            </w:r>
          </w:p>
        </w:tc>
      </w:tr>
      <w:tr w14:paraId="6CCF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19" w:type="dxa"/>
            <w:noWrap w:val="0"/>
            <w:vAlign w:val="center"/>
          </w:tcPr>
          <w:p w14:paraId="5A5F335C">
            <w:pPr>
              <w:tabs>
                <w:tab w:val="left" w:pos="1470"/>
                <w:tab w:val="left" w:pos="1575"/>
              </w:tabs>
              <w:spacing w:line="360" w:lineRule="auto"/>
              <w:rPr>
                <w:rFonts w:hint="eastAsia" w:ascii="宋体" w:hAnsi="宋体" w:eastAsia="宋体" w:cs="宋体"/>
                <w:bCs/>
                <w:color w:val="auto"/>
                <w:spacing w:val="-12"/>
                <w:sz w:val="24"/>
                <w:szCs w:val="21"/>
                <w:lang w:val="en-US"/>
              </w:rPr>
            </w:pPr>
            <w:r>
              <w:rPr>
                <w:rFonts w:hint="eastAsia" w:ascii="宋体" w:hAnsi="宋体" w:eastAsia="宋体" w:cs="宋体"/>
                <w:bCs/>
                <w:color w:val="auto"/>
                <w:spacing w:val="-12"/>
                <w:sz w:val="24"/>
                <w:szCs w:val="21"/>
                <w:lang w:eastAsia="zh-CN"/>
              </w:rPr>
              <w:t>（）再认证第</w:t>
            </w:r>
            <w:r>
              <w:rPr>
                <w:rFonts w:hint="eastAsia" w:ascii="宋体" w:hAnsi="宋体" w:eastAsia="宋体" w:cs="宋体"/>
                <w:bCs/>
                <w:color w:val="auto"/>
                <w:spacing w:val="-12"/>
                <w:sz w:val="24"/>
                <w:szCs w:val="21"/>
                <w:u w:val="single"/>
                <w:lang w:val="en-US" w:eastAsia="zh-CN"/>
              </w:rPr>
              <w:t xml:space="preserve">  </w:t>
            </w:r>
            <w:r>
              <w:rPr>
                <w:rFonts w:hint="eastAsia" w:ascii="宋体" w:hAnsi="宋体" w:eastAsia="宋体" w:cs="宋体"/>
                <w:bCs/>
                <w:color w:val="auto"/>
                <w:spacing w:val="-12"/>
                <w:sz w:val="24"/>
                <w:szCs w:val="21"/>
                <w:lang w:eastAsia="zh-CN"/>
              </w:rPr>
              <w:t>次</w:t>
            </w:r>
          </w:p>
        </w:tc>
        <w:tc>
          <w:tcPr>
            <w:tcW w:w="7493" w:type="dxa"/>
            <w:noWrap w:val="0"/>
            <w:vAlign w:val="center"/>
          </w:tcPr>
          <w:p w14:paraId="2BF942AC">
            <w:pPr>
              <w:spacing w:line="360" w:lineRule="auto"/>
              <w:jc w:val="center"/>
              <w:rPr>
                <w:rFonts w:hint="eastAsia" w:ascii="宋体" w:hAnsi="宋体" w:eastAsia="宋体" w:cs="宋体"/>
                <w:bCs/>
                <w:color w:val="auto"/>
                <w:spacing w:val="-12"/>
                <w:sz w:val="22"/>
                <w:szCs w:val="20"/>
              </w:rPr>
            </w:pP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QMS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EMS </w:t>
            </w:r>
            <w:r>
              <w:rPr>
                <w:rFonts w:hint="eastAsia" w:ascii="宋体" w:hAnsi="宋体" w:eastAsia="宋体" w:cs="宋体"/>
                <w:bCs/>
                <w:color w:val="auto"/>
                <w:spacing w:val="-12"/>
                <w:sz w:val="22"/>
                <w:szCs w:val="20"/>
                <w:lang w:eastAsia="zh-CN"/>
              </w:rPr>
              <w:t>（）</w:t>
            </w:r>
            <w:r>
              <w:rPr>
                <w:rFonts w:hint="eastAsia" w:ascii="宋体" w:hAnsi="宋体" w:eastAsia="宋体" w:cs="宋体"/>
                <w:bCs/>
                <w:color w:val="auto"/>
                <w:spacing w:val="-12"/>
                <w:sz w:val="22"/>
                <w:szCs w:val="20"/>
              </w:rPr>
              <w:t>OHSMS</w:t>
            </w:r>
            <w:r>
              <w:rPr>
                <w:rFonts w:hint="eastAsia" w:ascii="宋体" w:hAnsi="宋体" w:eastAsia="宋体" w:cs="宋体"/>
                <w:bCs/>
                <w:color w:val="auto"/>
                <w:spacing w:val="-12"/>
                <w:sz w:val="22"/>
                <w:szCs w:val="20"/>
                <w:lang w:val="en-US" w:eastAsia="zh-CN"/>
              </w:rPr>
              <w:t xml:space="preserve">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lang w:val="en-US" w:eastAsia="zh-CN"/>
              </w:rPr>
              <w:t>I</w:t>
            </w:r>
            <w:r>
              <w:rPr>
                <w:rFonts w:hint="eastAsia" w:ascii="宋体" w:hAnsi="宋体" w:eastAsia="宋体" w:cs="宋体"/>
                <w:bCs/>
                <w:color w:val="auto"/>
                <w:spacing w:val="-12"/>
                <w:sz w:val="22"/>
                <w:szCs w:val="20"/>
              </w:rPr>
              <w:t xml:space="preserve">SMS </w:t>
            </w:r>
            <w:r>
              <w:rPr>
                <w:rFonts w:hint="eastAsia" w:ascii="宋体" w:hAnsi="宋体" w:eastAsia="宋体" w:cs="宋体"/>
                <w:bCs/>
                <w:color w:val="auto"/>
                <w:sz w:val="22"/>
                <w:szCs w:val="20"/>
                <w:lang w:eastAsia="zh-CN"/>
              </w:rPr>
              <w:t>（）</w:t>
            </w:r>
            <w:r>
              <w:rPr>
                <w:rFonts w:hint="eastAsia" w:ascii="宋体" w:hAnsi="宋体" w:cs="宋体"/>
                <w:bCs/>
                <w:color w:val="auto"/>
                <w:spacing w:val="-12"/>
                <w:sz w:val="22"/>
                <w:szCs w:val="20"/>
                <w:lang w:val="en-US" w:eastAsia="zh-CN"/>
              </w:rPr>
              <w:t>ITSMS</w:t>
            </w:r>
            <w:r>
              <w:rPr>
                <w:rFonts w:hint="eastAsia" w:ascii="宋体" w:hAnsi="宋体" w:eastAsia="宋体" w:cs="宋体"/>
                <w:bCs/>
                <w:color w:val="auto"/>
                <w:spacing w:val="-12"/>
                <w:sz w:val="22"/>
                <w:szCs w:val="20"/>
              </w:rPr>
              <w:t xml:space="preserve">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HACCP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FSMS </w:t>
            </w:r>
            <w:r>
              <w:rPr>
                <w:rFonts w:hint="eastAsia" w:ascii="宋体" w:hAnsi="宋体" w:eastAsia="宋体" w:cs="宋体"/>
                <w:bCs/>
                <w:color w:val="auto"/>
                <w:spacing w:val="-12"/>
                <w:sz w:val="22"/>
                <w:szCs w:val="20"/>
                <w:lang w:eastAsia="zh-CN"/>
              </w:rPr>
              <w:t>（）</w:t>
            </w:r>
            <w:r>
              <w:rPr>
                <w:rFonts w:hint="eastAsia" w:ascii="宋体" w:hAnsi="宋体" w:eastAsia="宋体" w:cs="宋体"/>
                <w:bCs/>
                <w:color w:val="auto"/>
                <w:spacing w:val="-12"/>
                <w:sz w:val="22"/>
                <w:szCs w:val="20"/>
              </w:rPr>
              <w:t>SC</w:t>
            </w:r>
          </w:p>
          <w:p w14:paraId="34BA5AAB">
            <w:pPr>
              <w:spacing w:line="360" w:lineRule="auto"/>
              <w:jc w:val="center"/>
              <w:rPr>
                <w:rFonts w:hint="default" w:ascii="宋体" w:hAnsi="宋体" w:eastAsia="宋体" w:cs="宋体"/>
                <w:bCs/>
                <w:color w:val="auto"/>
                <w:spacing w:val="-12"/>
                <w:sz w:val="22"/>
                <w:szCs w:val="20"/>
                <w:u w:val="single"/>
                <w:lang w:val="en-US" w:eastAsia="zh-CN"/>
              </w:rPr>
            </w:pPr>
            <w:r>
              <w:rPr>
                <w:rFonts w:hint="eastAsia" w:ascii="宋体" w:hAnsi="宋体" w:eastAsia="宋体" w:cs="宋体"/>
                <w:bCs/>
                <w:color w:val="auto"/>
                <w:sz w:val="24"/>
                <w:szCs w:val="21"/>
                <w:lang w:eastAsia="zh-CN"/>
              </w:rPr>
              <w:t>（）</w:t>
            </w:r>
            <w:r>
              <w:rPr>
                <w:rFonts w:hint="eastAsia" w:ascii="宋体" w:hAnsi="宋体" w:eastAsia="宋体" w:cs="宋体"/>
                <w:bCs/>
                <w:color w:val="auto"/>
                <w:sz w:val="24"/>
                <w:szCs w:val="21"/>
                <w:lang w:val="en-US" w:eastAsia="zh-CN"/>
              </w:rPr>
              <w:t>EnMS</w:t>
            </w:r>
            <w:r>
              <w:rPr>
                <w:rFonts w:hint="eastAsia" w:ascii="宋体" w:hAnsi="宋体" w:eastAsia="宋体" w:cs="宋体"/>
                <w:bCs/>
                <w:color w:val="auto"/>
                <w:sz w:val="24"/>
                <w:szCs w:val="21"/>
                <w:lang w:eastAsia="zh-CN"/>
              </w:rPr>
              <w:t>（）</w:t>
            </w:r>
            <w:r>
              <w:rPr>
                <w:rFonts w:hint="eastAsia" w:ascii="宋体" w:hAnsi="宋体" w:eastAsia="宋体" w:cs="宋体"/>
                <w:bCs/>
                <w:color w:val="auto"/>
                <w:spacing w:val="-4"/>
                <w:sz w:val="24"/>
                <w:szCs w:val="21"/>
              </w:rPr>
              <w:t>其它：</w:t>
            </w:r>
            <w:r>
              <w:rPr>
                <w:rFonts w:hint="eastAsia" w:ascii="宋体" w:hAnsi="宋体" w:eastAsia="宋体" w:cs="宋体"/>
                <w:bCs/>
                <w:color w:val="auto"/>
                <w:spacing w:val="-4"/>
                <w:sz w:val="24"/>
                <w:szCs w:val="21"/>
                <w:u w:val="single"/>
                <w:lang w:val="en-US" w:eastAsia="zh-CN"/>
              </w:rPr>
              <w:t xml:space="preserve">      </w:t>
            </w:r>
          </w:p>
        </w:tc>
      </w:tr>
      <w:tr w14:paraId="0892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119" w:type="dxa"/>
            <w:noWrap w:val="0"/>
            <w:vAlign w:val="center"/>
          </w:tcPr>
          <w:p w14:paraId="3A2346A3">
            <w:pPr>
              <w:spacing w:line="360" w:lineRule="auto"/>
              <w:rPr>
                <w:rFonts w:hint="eastAsia" w:ascii="宋体" w:hAnsi="宋体" w:eastAsia="宋体" w:cs="宋体"/>
                <w:color w:val="auto"/>
                <w:sz w:val="24"/>
                <w:szCs w:val="21"/>
                <w:lang w:eastAsia="zh-CN"/>
              </w:rPr>
            </w:pPr>
            <w:r>
              <w:rPr>
                <w:rFonts w:hint="eastAsia" w:ascii="宋体" w:hAnsi="宋体" w:eastAsia="宋体" w:cs="宋体"/>
                <w:color w:val="auto"/>
                <w:sz w:val="24"/>
                <w:szCs w:val="21"/>
                <w:lang w:eastAsia="zh-CN"/>
              </w:rPr>
              <w:t>（）转换机构</w:t>
            </w:r>
          </w:p>
        </w:tc>
        <w:tc>
          <w:tcPr>
            <w:tcW w:w="7493" w:type="dxa"/>
            <w:noWrap w:val="0"/>
            <w:vAlign w:val="center"/>
          </w:tcPr>
          <w:p w14:paraId="24D2C891">
            <w:pPr>
              <w:spacing w:line="360" w:lineRule="auto"/>
              <w:jc w:val="center"/>
              <w:rPr>
                <w:rFonts w:hint="eastAsia" w:ascii="宋体" w:hAnsi="宋体" w:eastAsia="宋体" w:cs="宋体"/>
                <w:bCs/>
                <w:color w:val="auto"/>
                <w:sz w:val="24"/>
                <w:szCs w:val="21"/>
                <w:lang w:eastAsia="zh-CN"/>
              </w:rPr>
            </w:pP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QMS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EMS </w:t>
            </w:r>
            <w:r>
              <w:rPr>
                <w:rFonts w:hint="eastAsia" w:ascii="宋体" w:hAnsi="宋体" w:eastAsia="宋体" w:cs="宋体"/>
                <w:bCs/>
                <w:color w:val="auto"/>
                <w:spacing w:val="-12"/>
                <w:sz w:val="22"/>
                <w:szCs w:val="20"/>
                <w:lang w:eastAsia="zh-CN"/>
              </w:rPr>
              <w:t>（）</w:t>
            </w:r>
            <w:r>
              <w:rPr>
                <w:rFonts w:hint="eastAsia" w:ascii="宋体" w:hAnsi="宋体" w:eastAsia="宋体" w:cs="宋体"/>
                <w:bCs/>
                <w:color w:val="auto"/>
                <w:spacing w:val="-12"/>
                <w:sz w:val="22"/>
                <w:szCs w:val="20"/>
              </w:rPr>
              <w:t>OHSMS</w:t>
            </w:r>
            <w:r>
              <w:rPr>
                <w:rFonts w:hint="eastAsia" w:ascii="宋体" w:hAnsi="宋体" w:eastAsia="宋体" w:cs="宋体"/>
                <w:bCs/>
                <w:color w:val="auto"/>
                <w:spacing w:val="-12"/>
                <w:sz w:val="22"/>
                <w:szCs w:val="20"/>
                <w:lang w:val="en-US" w:eastAsia="zh-CN"/>
              </w:rPr>
              <w:t xml:space="preserve">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lang w:val="en-US" w:eastAsia="zh-CN"/>
              </w:rPr>
              <w:t>I</w:t>
            </w:r>
            <w:r>
              <w:rPr>
                <w:rFonts w:hint="eastAsia" w:ascii="宋体" w:hAnsi="宋体" w:eastAsia="宋体" w:cs="宋体"/>
                <w:bCs/>
                <w:color w:val="auto"/>
                <w:spacing w:val="-12"/>
                <w:sz w:val="22"/>
                <w:szCs w:val="20"/>
              </w:rPr>
              <w:t xml:space="preserve">SMS </w:t>
            </w:r>
            <w:r>
              <w:rPr>
                <w:rFonts w:hint="eastAsia" w:ascii="宋体" w:hAnsi="宋体" w:eastAsia="宋体" w:cs="宋体"/>
                <w:bCs/>
                <w:color w:val="auto"/>
                <w:sz w:val="22"/>
                <w:szCs w:val="20"/>
                <w:lang w:eastAsia="zh-CN"/>
              </w:rPr>
              <w:t>（）</w:t>
            </w:r>
            <w:r>
              <w:rPr>
                <w:rFonts w:hint="eastAsia" w:ascii="宋体" w:hAnsi="宋体" w:cs="宋体"/>
                <w:bCs/>
                <w:color w:val="auto"/>
                <w:spacing w:val="-12"/>
                <w:sz w:val="22"/>
                <w:szCs w:val="20"/>
                <w:lang w:val="en-US" w:eastAsia="zh-CN"/>
              </w:rPr>
              <w:t>ITSMS</w:t>
            </w:r>
            <w:r>
              <w:rPr>
                <w:rFonts w:hint="eastAsia" w:ascii="宋体" w:hAnsi="宋体" w:eastAsia="宋体" w:cs="宋体"/>
                <w:bCs/>
                <w:color w:val="auto"/>
                <w:spacing w:val="-12"/>
                <w:sz w:val="22"/>
                <w:szCs w:val="20"/>
              </w:rPr>
              <w:t xml:space="preserve">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HACCP </w:t>
            </w:r>
            <w:r>
              <w:rPr>
                <w:rFonts w:hint="eastAsia" w:ascii="宋体" w:hAnsi="宋体" w:eastAsia="宋体" w:cs="宋体"/>
                <w:bCs/>
                <w:color w:val="auto"/>
                <w:sz w:val="22"/>
                <w:szCs w:val="20"/>
                <w:lang w:eastAsia="zh-CN"/>
              </w:rPr>
              <w:t>（）</w:t>
            </w:r>
            <w:r>
              <w:rPr>
                <w:rFonts w:hint="eastAsia" w:ascii="宋体" w:hAnsi="宋体" w:eastAsia="宋体" w:cs="宋体"/>
                <w:bCs/>
                <w:color w:val="auto"/>
                <w:spacing w:val="-12"/>
                <w:sz w:val="22"/>
                <w:szCs w:val="20"/>
              </w:rPr>
              <w:t xml:space="preserve">FSMS </w:t>
            </w:r>
            <w:r>
              <w:rPr>
                <w:rFonts w:hint="eastAsia" w:ascii="宋体" w:hAnsi="宋体" w:eastAsia="宋体" w:cs="宋体"/>
                <w:bCs/>
                <w:color w:val="auto"/>
                <w:spacing w:val="-12"/>
                <w:sz w:val="22"/>
                <w:szCs w:val="20"/>
                <w:lang w:eastAsia="zh-CN"/>
              </w:rPr>
              <w:t>（）</w:t>
            </w:r>
            <w:r>
              <w:rPr>
                <w:rFonts w:hint="eastAsia" w:ascii="宋体" w:hAnsi="宋体" w:eastAsia="宋体" w:cs="宋体"/>
                <w:bCs/>
                <w:color w:val="auto"/>
                <w:spacing w:val="-12"/>
                <w:sz w:val="22"/>
                <w:szCs w:val="20"/>
              </w:rPr>
              <w:t>SC</w:t>
            </w:r>
          </w:p>
          <w:p w14:paraId="795FA1B7">
            <w:pPr>
              <w:spacing w:line="360" w:lineRule="auto"/>
              <w:jc w:val="both"/>
              <w:rPr>
                <w:rFonts w:hint="default" w:ascii="宋体" w:hAnsi="宋体" w:eastAsia="宋体" w:cs="宋体"/>
                <w:color w:val="auto"/>
                <w:sz w:val="24"/>
                <w:szCs w:val="21"/>
                <w:lang w:val="en-US" w:eastAsia="zh-CN"/>
              </w:rPr>
            </w:pPr>
            <w:r>
              <w:rPr>
                <w:rFonts w:hint="eastAsia" w:ascii="宋体" w:hAnsi="宋体" w:eastAsia="宋体" w:cs="宋体"/>
                <w:bCs/>
                <w:color w:val="auto"/>
                <w:sz w:val="24"/>
                <w:szCs w:val="21"/>
                <w:lang w:eastAsia="zh-CN"/>
              </w:rPr>
              <w:t>（）</w:t>
            </w:r>
            <w:r>
              <w:rPr>
                <w:rFonts w:hint="eastAsia" w:ascii="宋体" w:hAnsi="宋体" w:eastAsia="宋体" w:cs="宋体"/>
                <w:bCs/>
                <w:color w:val="auto"/>
                <w:sz w:val="24"/>
                <w:szCs w:val="21"/>
                <w:lang w:val="en-US" w:eastAsia="zh-CN"/>
              </w:rPr>
              <w:t>EnMS</w:t>
            </w:r>
            <w:r>
              <w:rPr>
                <w:rFonts w:hint="eastAsia" w:ascii="宋体" w:hAnsi="宋体" w:eastAsia="宋体" w:cs="宋体"/>
                <w:bCs/>
                <w:color w:val="auto"/>
                <w:sz w:val="24"/>
                <w:szCs w:val="21"/>
                <w:lang w:eastAsia="zh-CN"/>
              </w:rPr>
              <w:t>（）</w:t>
            </w:r>
            <w:r>
              <w:rPr>
                <w:rFonts w:hint="eastAsia" w:ascii="宋体" w:hAnsi="宋体" w:eastAsia="宋体" w:cs="宋体"/>
                <w:bCs/>
                <w:color w:val="auto"/>
                <w:spacing w:val="-4"/>
                <w:sz w:val="24"/>
                <w:szCs w:val="21"/>
              </w:rPr>
              <w:t xml:space="preserve">结合再认证 </w:t>
            </w:r>
            <w:r>
              <w:rPr>
                <w:rFonts w:hint="eastAsia" w:ascii="宋体" w:hAnsi="宋体" w:eastAsia="宋体" w:cs="宋体"/>
                <w:bCs/>
                <w:color w:val="auto"/>
                <w:sz w:val="24"/>
                <w:szCs w:val="21"/>
                <w:lang w:eastAsia="zh-CN"/>
              </w:rPr>
              <w:t>（）</w:t>
            </w:r>
            <w:r>
              <w:rPr>
                <w:rFonts w:hint="eastAsia" w:ascii="宋体" w:hAnsi="宋体" w:eastAsia="宋体" w:cs="宋体"/>
                <w:bCs/>
                <w:color w:val="auto"/>
                <w:spacing w:val="-4"/>
                <w:sz w:val="24"/>
                <w:szCs w:val="21"/>
              </w:rPr>
              <w:t>结合</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次监督 </w:t>
            </w:r>
            <w:r>
              <w:rPr>
                <w:rFonts w:hint="eastAsia" w:ascii="宋体" w:hAnsi="宋体" w:eastAsia="宋体" w:cs="宋体"/>
                <w:bCs/>
                <w:color w:val="auto"/>
                <w:sz w:val="24"/>
                <w:szCs w:val="21"/>
                <w:lang w:eastAsia="zh-CN"/>
              </w:rPr>
              <w:t>（）</w:t>
            </w:r>
            <w:r>
              <w:rPr>
                <w:rFonts w:hint="eastAsia" w:ascii="宋体" w:hAnsi="宋体" w:eastAsia="宋体" w:cs="宋体"/>
                <w:bCs/>
                <w:color w:val="auto"/>
                <w:spacing w:val="-4"/>
                <w:sz w:val="24"/>
                <w:szCs w:val="21"/>
              </w:rPr>
              <w:t>其它：</w:t>
            </w:r>
            <w:r>
              <w:rPr>
                <w:rFonts w:hint="eastAsia" w:ascii="宋体" w:hAnsi="宋体" w:eastAsia="宋体" w:cs="宋体"/>
                <w:bCs/>
                <w:color w:val="auto"/>
                <w:spacing w:val="-4"/>
                <w:sz w:val="24"/>
                <w:szCs w:val="21"/>
                <w:u w:val="single"/>
                <w:lang w:val="en-US" w:eastAsia="zh-CN"/>
              </w:rPr>
              <w:t xml:space="preserve">    </w:t>
            </w:r>
            <w:r>
              <w:rPr>
                <w:rFonts w:hint="eastAsia" w:ascii="宋体" w:hAnsi="宋体" w:eastAsia="宋体" w:cs="宋体"/>
                <w:bCs/>
                <w:color w:val="auto"/>
                <w:spacing w:val="-4"/>
                <w:sz w:val="24"/>
                <w:szCs w:val="21"/>
                <w:lang w:val="en-US" w:eastAsia="zh-CN"/>
              </w:rPr>
              <w:t xml:space="preserve">   </w:t>
            </w:r>
          </w:p>
        </w:tc>
      </w:tr>
    </w:tbl>
    <w:p w14:paraId="0F0118F5">
      <w:pPr>
        <w:spacing w:before="360" w:line="300" w:lineRule="auto"/>
        <w:ind w:firstLine="1500" w:firstLineChars="500"/>
        <w:rPr>
          <w:rFonts w:hint="eastAsia" w:ascii="黑体" w:eastAsia="黑体"/>
          <w:color w:val="auto"/>
          <w:sz w:val="30"/>
        </w:rPr>
      </w:pPr>
      <w:r>
        <w:rPr>
          <w:rFonts w:hint="eastAsia" w:ascii="黑体" w:eastAsia="黑体"/>
          <w:color w:val="auto"/>
          <w:sz w:val="30"/>
        </w:rPr>
        <w:t>申请认证组织名称：</w:t>
      </w:r>
      <w:r>
        <w:rPr>
          <w:rFonts w:hint="eastAsia" w:ascii="黑体" w:eastAsia="黑体"/>
          <w:color w:val="auto"/>
          <w:sz w:val="30"/>
          <w:u w:val="single"/>
        </w:rPr>
        <w:t xml:space="preserve">       </w:t>
      </w:r>
      <w:r>
        <w:rPr>
          <w:rFonts w:hint="default" w:ascii="黑体" w:eastAsia="黑体"/>
          <w:color w:val="auto"/>
          <w:sz w:val="30"/>
          <w:u w:val="single"/>
        </w:rPr>
        <w:t xml:space="preserve">                 </w:t>
      </w:r>
      <w:r>
        <w:rPr>
          <w:rFonts w:hint="eastAsia" w:ascii="黑体" w:eastAsia="黑体"/>
          <w:color w:val="auto"/>
          <w:sz w:val="30"/>
          <w:u w:val="single"/>
        </w:rPr>
        <w:t xml:space="preserve">    </w:t>
      </w:r>
    </w:p>
    <w:p w14:paraId="2F7AFB49">
      <w:pPr>
        <w:spacing w:line="360" w:lineRule="auto"/>
        <w:ind w:firstLine="1508" w:firstLineChars="200"/>
        <w:rPr>
          <w:rFonts w:hint="eastAsia" w:ascii="楷体_GB2312" w:eastAsia="楷体_GB2312"/>
          <w:color w:val="auto"/>
          <w:sz w:val="24"/>
        </w:rPr>
        <w:sectPr>
          <w:headerReference r:id="rId3" w:type="default"/>
          <w:footerReference r:id="rId5" w:type="default"/>
          <w:headerReference r:id="rId4" w:type="even"/>
          <w:pgSz w:w="11906" w:h="16838"/>
          <w:pgMar w:top="1440" w:right="1080" w:bottom="1440" w:left="1080" w:header="851" w:footer="992" w:gutter="0"/>
          <w:cols w:space="720" w:num="1"/>
          <w:docGrid w:type="lines" w:linePitch="312" w:charSpace="0"/>
        </w:sectPr>
      </w:pPr>
      <w:r>
        <w:rPr>
          <w:rFonts w:hint="eastAsia" w:ascii="黑体" w:eastAsia="黑体"/>
          <w:color w:val="auto"/>
          <w:spacing w:val="227"/>
          <w:kern w:val="0"/>
          <w:sz w:val="30"/>
        </w:rPr>
        <w:t>认证机</w:t>
      </w:r>
      <w:r>
        <w:rPr>
          <w:rFonts w:hint="eastAsia" w:ascii="黑体" w:eastAsia="黑体"/>
          <w:color w:val="auto"/>
          <w:kern w:val="0"/>
          <w:sz w:val="30"/>
        </w:rPr>
        <w:t>构</w:t>
      </w:r>
      <w:r>
        <w:rPr>
          <w:rFonts w:hint="eastAsia" w:ascii="黑体" w:eastAsia="黑体"/>
          <w:color w:val="auto"/>
          <w:sz w:val="30"/>
        </w:rPr>
        <w:t>：华中国际认证检验集团有限公司</w:t>
      </w:r>
    </w:p>
    <w:p w14:paraId="71F4953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中华人民共和国民法典》以及《中华人民共和国认证认可条例》、《认证机构管理办法》、《质量管理体系认证规则》、《认证证书和认证标志管理办法》等有关法律、法规及认证认可规则的规定，经甲乙双方协商一致，就有关认证事宜，在甲方向乙方提交《管理体系</w:t>
      </w:r>
      <w:r>
        <w:rPr>
          <w:rFonts w:hint="eastAsia" w:ascii="宋体" w:hAnsi="宋体" w:cs="宋体"/>
          <w:color w:val="auto"/>
          <w:sz w:val="24"/>
          <w:lang w:eastAsia="zh-CN"/>
        </w:rPr>
        <w:t>、</w:t>
      </w:r>
      <w:r>
        <w:rPr>
          <w:rFonts w:hint="eastAsia" w:ascii="宋体" w:hAnsi="宋体" w:eastAsia="宋体" w:cs="宋体"/>
          <w:color w:val="auto"/>
          <w:sz w:val="24"/>
        </w:rPr>
        <w:t>服务认证申请书》，并经乙方合同评审后，签订合同如下：</w:t>
      </w:r>
    </w:p>
    <w:p w14:paraId="21C357B7">
      <w:pPr>
        <w:spacing w:line="276"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一、认证依据及范围</w:t>
      </w:r>
    </w:p>
    <w:p w14:paraId="3FD40BBE">
      <w:pPr>
        <w:spacing w:line="276" w:lineRule="auto"/>
        <w:ind w:firstLine="440" w:firstLineChars="200"/>
        <w:rPr>
          <w:rFonts w:hint="eastAsia" w:ascii="楷体_GB2312" w:eastAsia="楷体_GB2312"/>
          <w:b/>
          <w:color w:val="auto"/>
          <w:sz w:val="24"/>
          <w:u w:val="single"/>
        </w:rPr>
      </w:pPr>
      <w:r>
        <w:rPr>
          <w:rFonts w:hint="eastAsia" w:ascii="宋体" w:hAnsi="宋体" w:eastAsia="宋体" w:cs="宋体"/>
          <w:color w:val="auto"/>
          <w:spacing w:val="-10"/>
          <w:sz w:val="24"/>
          <w:szCs w:val="24"/>
        </w:rPr>
        <w:t>1.认证依据</w:t>
      </w:r>
      <w:r>
        <w:rPr>
          <w:rFonts w:hint="eastAsia" w:ascii="宋体" w:hAnsi="宋体" w:eastAsia="宋体" w:cs="宋体"/>
          <w:color w:val="auto"/>
          <w:sz w:val="24"/>
          <w:lang w:eastAsia="zh-CN"/>
        </w:rPr>
        <w:t>（依据《华中国际认证检验集团有限公司认证业务范围表》填写）</w:t>
      </w:r>
      <w:r>
        <w:rPr>
          <w:rFonts w:hint="eastAsia" w:ascii="宋体" w:hAnsi="宋体" w:eastAsia="宋体" w:cs="宋体"/>
          <w:color w:val="auto"/>
          <w:spacing w:val="-10"/>
          <w:sz w:val="24"/>
          <w:szCs w:val="24"/>
        </w:rPr>
        <w:t>：</w:t>
      </w:r>
      <w:r>
        <w:rPr>
          <w:rFonts w:hint="eastAsia" w:ascii="楷体_GB2312" w:eastAsia="楷体_GB2312"/>
          <w:b/>
          <w:color w:val="auto"/>
          <w:sz w:val="24"/>
          <w:u w:val="single"/>
          <w:lang w:val="en-US" w:eastAsia="zh-CN"/>
        </w:rPr>
        <w:t xml:space="preserve"> </w:t>
      </w:r>
      <w:r>
        <w:rPr>
          <w:rFonts w:hint="default" w:ascii="楷体_GB2312" w:eastAsia="楷体_GB2312"/>
          <w:b/>
          <w:color w:val="auto"/>
          <w:sz w:val="24"/>
          <w:u w:val="single"/>
          <w:lang w:eastAsia="zh-CN"/>
        </w:rPr>
        <w:t xml:space="preserve"> </w:t>
      </w:r>
      <w:r>
        <w:rPr>
          <w:rFonts w:hint="eastAsia" w:ascii="楷体_GB2312" w:eastAsia="楷体_GB2312"/>
          <w:b/>
          <w:color w:val="auto"/>
          <w:sz w:val="24"/>
          <w:u w:val="single"/>
          <w:lang w:val="en-US" w:eastAsia="zh-CN"/>
        </w:rPr>
        <w:t xml:space="preserve">                  </w:t>
      </w:r>
      <w:r>
        <w:rPr>
          <w:rFonts w:hint="eastAsia" w:ascii="楷体_GB2312" w:eastAsia="楷体_GB2312"/>
          <w:b/>
          <w:color w:val="auto"/>
          <w:sz w:val="24"/>
          <w:u w:val="single"/>
        </w:rPr>
        <w:t xml:space="preserve">      </w:t>
      </w:r>
    </w:p>
    <w:p w14:paraId="1C5DA1F8">
      <w:pPr>
        <w:keepNext w:val="0"/>
        <w:keepLines w:val="0"/>
        <w:pageBreakBefore w:val="0"/>
        <w:widowControl w:val="0"/>
        <w:kinsoku/>
        <w:wordWrap w:val="0"/>
        <w:overflowPunct/>
        <w:topLinePunct w:val="0"/>
        <w:autoSpaceDE/>
        <w:autoSpaceDN/>
        <w:bidi w:val="0"/>
        <w:adjustRightInd/>
        <w:snapToGrid/>
        <w:spacing w:line="276" w:lineRule="auto"/>
        <w:ind w:left="720" w:leftChars="228" w:hanging="241" w:hangingChars="100"/>
        <w:textAlignment w:val="auto"/>
        <w:rPr>
          <w:rFonts w:hint="default" w:ascii="宋体" w:hAnsi="宋体" w:eastAsia="宋体" w:cs="宋体"/>
          <w:color w:val="auto"/>
          <w:sz w:val="24"/>
          <w:u w:val="single"/>
          <w:lang w:val="en-US" w:eastAsia="zh-CN"/>
        </w:rPr>
      </w:pPr>
      <w:r>
        <w:rPr>
          <w:rFonts w:hint="eastAsia" w:ascii="楷体_GB2312" w:eastAsia="楷体_GB2312"/>
          <w:b/>
          <w:color w:val="auto"/>
          <w:sz w:val="24"/>
          <w:u w:val="single"/>
        </w:rPr>
        <w:t xml:space="preserve">                                                         </w:t>
      </w:r>
      <w:r>
        <w:rPr>
          <w:rFonts w:hint="eastAsia" w:ascii="楷体_GB2312" w:eastAsia="楷体_GB2312"/>
          <w:b/>
          <w:color w:val="auto"/>
          <w:sz w:val="24"/>
          <w:u w:val="single"/>
          <w:lang w:val="en-US" w:eastAsia="zh-CN"/>
        </w:rPr>
        <w:t xml:space="preserve">                   </w:t>
      </w:r>
    </w:p>
    <w:p w14:paraId="29129204">
      <w:pPr>
        <w:spacing w:line="276" w:lineRule="auto"/>
        <w:ind w:firstLine="440" w:firstLineChars="200"/>
        <w:rPr>
          <w:rFonts w:hint="eastAsia" w:ascii="楷体_GB2312" w:eastAsia="楷体_GB2312"/>
          <w:b/>
          <w:color w:val="auto"/>
          <w:sz w:val="24"/>
          <w:u w:val="single"/>
        </w:rPr>
      </w:pPr>
      <w:r>
        <w:rPr>
          <w:rFonts w:hint="eastAsia" w:ascii="宋体" w:hAnsi="宋体" w:eastAsia="宋体" w:cs="宋体"/>
          <w:color w:val="auto"/>
          <w:spacing w:val="-10"/>
          <w:sz w:val="24"/>
          <w:szCs w:val="24"/>
          <w:lang w:val="en-US" w:eastAsia="zh-CN"/>
        </w:rPr>
        <w:t>2</w:t>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甲方管理体系覆盖的产品/服务范围</w:t>
      </w:r>
      <w:r>
        <w:rPr>
          <w:rFonts w:hint="eastAsia" w:ascii="宋体" w:hAnsi="宋体" w:eastAsia="宋体" w:cs="宋体"/>
          <w:color w:val="auto"/>
          <w:sz w:val="24"/>
          <w:szCs w:val="24"/>
          <w:lang w:val="en-US" w:eastAsia="zh-CN"/>
        </w:rPr>
        <w:t>：</w:t>
      </w:r>
      <w:r>
        <w:rPr>
          <w:rFonts w:hint="eastAsia" w:ascii="楷体_GB2312" w:eastAsia="楷体_GB2312"/>
          <w:b/>
          <w:color w:val="auto"/>
          <w:sz w:val="24"/>
          <w:u w:val="single"/>
        </w:rPr>
        <w:t xml:space="preserve">                 </w:t>
      </w:r>
      <w:r>
        <w:rPr>
          <w:rFonts w:hint="eastAsia" w:ascii="楷体_GB2312" w:eastAsia="楷体_GB2312"/>
          <w:b/>
          <w:color w:val="auto"/>
          <w:sz w:val="24"/>
          <w:u w:val="single"/>
          <w:lang w:val="en-US" w:eastAsia="zh-CN"/>
        </w:rPr>
        <w:t xml:space="preserve">                    </w:t>
      </w:r>
      <w:r>
        <w:rPr>
          <w:rFonts w:hint="eastAsia" w:ascii="楷体_GB2312" w:eastAsia="楷体_GB2312"/>
          <w:b/>
          <w:color w:val="auto"/>
          <w:sz w:val="24"/>
          <w:u w:val="single"/>
        </w:rPr>
        <w:t xml:space="preserve">      </w:t>
      </w:r>
    </w:p>
    <w:p w14:paraId="793648B4">
      <w:pPr>
        <w:spacing w:line="276" w:lineRule="auto"/>
        <w:ind w:firstLine="482" w:firstLineChars="200"/>
        <w:rPr>
          <w:rFonts w:hint="eastAsia" w:ascii="楷体_GB2312" w:eastAsia="楷体_GB2312"/>
          <w:color w:val="auto"/>
          <w:sz w:val="24"/>
        </w:rPr>
      </w:pPr>
      <w:r>
        <w:rPr>
          <w:rFonts w:hint="eastAsia" w:ascii="楷体_GB2312" w:eastAsia="楷体_GB2312"/>
          <w:b/>
          <w:color w:val="auto"/>
          <w:sz w:val="24"/>
          <w:u w:val="single"/>
        </w:rPr>
        <w:t xml:space="preserve">                                                                             </w:t>
      </w:r>
    </w:p>
    <w:p w14:paraId="3307CCC2">
      <w:pPr>
        <w:spacing w:line="276" w:lineRule="auto"/>
        <w:ind w:firstLine="480" w:firstLineChars="200"/>
        <w:rPr>
          <w:rFonts w:hint="eastAsia" w:ascii="楷体_GB2312" w:eastAsia="楷体_GB2312"/>
          <w:b/>
          <w:color w:val="auto"/>
          <w:sz w:val="24"/>
          <w:u w:val="single"/>
        </w:rPr>
      </w:pPr>
      <w:r>
        <w:rPr>
          <w:rFonts w:hint="eastAsia" w:ascii="宋体"/>
          <w:color w:val="auto"/>
          <w:sz w:val="24"/>
          <w:szCs w:val="24"/>
        </w:rPr>
        <w:t>甲方管理体系覆盖的区域场所范围</w:t>
      </w:r>
      <w:r>
        <w:rPr>
          <w:rFonts w:hint="eastAsia" w:ascii="宋体"/>
          <w:color w:val="auto"/>
          <w:sz w:val="24"/>
          <w:szCs w:val="24"/>
          <w:lang w:eastAsia="zh-CN"/>
        </w:rPr>
        <w:t>：</w:t>
      </w:r>
      <w:r>
        <w:rPr>
          <w:rFonts w:hint="eastAsia" w:ascii="楷体_GB2312" w:eastAsia="楷体_GB2312"/>
          <w:b/>
          <w:color w:val="auto"/>
          <w:sz w:val="24"/>
          <w:u w:val="single"/>
        </w:rPr>
        <w:t xml:space="preserve">   </w:t>
      </w:r>
      <w:r>
        <w:rPr>
          <w:rFonts w:hint="default" w:ascii="楷体_GB2312" w:eastAsia="楷体_GB2312"/>
          <w:b/>
          <w:color w:val="auto"/>
          <w:sz w:val="24"/>
          <w:u w:val="single"/>
        </w:rPr>
        <w:t xml:space="preserve"> </w:t>
      </w:r>
      <w:r>
        <w:rPr>
          <w:rFonts w:hint="eastAsia" w:ascii="楷体_GB2312" w:eastAsia="楷体_GB2312"/>
          <w:b/>
          <w:color w:val="auto"/>
          <w:sz w:val="24"/>
          <w:u w:val="single"/>
          <w:lang w:val="en-US" w:eastAsia="zh-CN"/>
        </w:rPr>
        <w:t xml:space="preserve">                                   </w:t>
      </w:r>
      <w:r>
        <w:rPr>
          <w:rFonts w:hint="eastAsia" w:ascii="楷体_GB2312" w:eastAsia="楷体_GB2312"/>
          <w:b/>
          <w:color w:val="auto"/>
          <w:sz w:val="24"/>
          <w:u w:val="single"/>
        </w:rPr>
        <w:t xml:space="preserve">      </w:t>
      </w:r>
    </w:p>
    <w:p w14:paraId="29A2E099">
      <w:pPr>
        <w:adjustRightInd w:val="0"/>
        <w:snapToGrid w:val="0"/>
        <w:spacing w:line="420" w:lineRule="exact"/>
        <w:ind w:firstLine="542" w:firstLineChars="225"/>
        <w:jc w:val="left"/>
        <w:rPr>
          <w:rFonts w:hint="eastAsia" w:ascii="楷体_GB2312" w:eastAsia="楷体_GB2312"/>
          <w:color w:val="auto"/>
          <w:sz w:val="24"/>
        </w:rPr>
      </w:pPr>
      <w:r>
        <w:rPr>
          <w:rFonts w:hint="eastAsia" w:ascii="楷体_GB2312" w:eastAsia="楷体_GB2312"/>
          <w:b/>
          <w:color w:val="auto"/>
          <w:sz w:val="24"/>
          <w:u w:val="single"/>
        </w:rPr>
        <w:t xml:space="preserve">                                                         </w:t>
      </w:r>
      <w:r>
        <w:rPr>
          <w:rFonts w:hint="eastAsia" w:ascii="楷体_GB2312" w:eastAsia="楷体_GB2312"/>
          <w:b/>
          <w:color w:val="auto"/>
          <w:sz w:val="24"/>
          <w:u w:val="single"/>
          <w:lang w:val="en-US" w:eastAsia="zh-CN"/>
        </w:rPr>
        <w:t xml:space="preserve">                                   </w:t>
      </w:r>
      <w:r>
        <w:rPr>
          <w:rFonts w:hint="default" w:ascii="楷体_GB2312" w:eastAsia="楷体_GB2312"/>
          <w:b/>
          <w:color w:val="auto"/>
          <w:sz w:val="24"/>
          <w:u w:val="single"/>
        </w:rPr>
        <w:t xml:space="preserve"> </w:t>
      </w:r>
      <w:r>
        <w:rPr>
          <w:rFonts w:hint="eastAsia" w:ascii="楷体_GB2312" w:eastAsia="楷体_GB2312"/>
          <w:b/>
          <w:color w:val="auto"/>
          <w:sz w:val="24"/>
          <w:u w:val="single"/>
          <w:lang w:val="en-US" w:eastAsia="zh-Hans"/>
        </w:rPr>
        <w:t xml:space="preserve">   </w:t>
      </w:r>
      <w:r>
        <w:rPr>
          <w:rFonts w:hint="eastAsia" w:ascii="楷体_GB2312" w:eastAsia="楷体_GB2312"/>
          <w:b/>
          <w:color w:val="auto"/>
          <w:sz w:val="24"/>
          <w:u w:val="single"/>
        </w:rPr>
        <w:t xml:space="preserve">     </w:t>
      </w:r>
      <w:r>
        <w:rPr>
          <w:rFonts w:hint="eastAsia" w:ascii="楷体_GB2312" w:eastAsia="楷体_GB2312"/>
          <w:b/>
          <w:color w:val="auto"/>
          <w:sz w:val="24"/>
        </w:rPr>
        <w:t xml:space="preserve">                  </w:t>
      </w:r>
    </w:p>
    <w:p w14:paraId="1C1FD73F">
      <w:pPr>
        <w:adjustRightInd w:val="0"/>
        <w:snapToGrid w:val="0"/>
        <w:spacing w:line="420" w:lineRule="exact"/>
        <w:ind w:firstLine="540" w:firstLineChars="225"/>
        <w:jc w:val="left"/>
        <w:rPr>
          <w:rFonts w:hint="eastAsia" w:ascii="宋体" w:hAnsi="宋体" w:eastAsia="宋体" w:cs="宋体"/>
          <w:color w:val="auto"/>
          <w:sz w:val="24"/>
        </w:rPr>
      </w:pPr>
      <w:r>
        <w:rPr>
          <w:rFonts w:hint="eastAsia" w:ascii="宋体" w:hAnsi="宋体" w:eastAsia="宋体" w:cs="宋体"/>
          <w:color w:val="auto"/>
          <w:sz w:val="24"/>
        </w:rPr>
        <w:t>甲方体系内有效人数：</w:t>
      </w:r>
      <w:r>
        <w:rPr>
          <w:rFonts w:hint="eastAsia" w:ascii="宋体" w:hAnsi="宋体" w:eastAsia="宋体" w:cs="宋体"/>
          <w:color w:val="auto"/>
          <w:sz w:val="24"/>
          <w:u w:val="single"/>
        </w:rPr>
        <w:t xml:space="preserve">  </w:t>
      </w:r>
      <w:r>
        <w:rPr>
          <w:rFonts w:hint="default"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人</w:t>
      </w:r>
      <w:r>
        <w:rPr>
          <w:rFonts w:hint="eastAsia" w:ascii="宋体" w:hAnsi="宋体" w:cs="宋体"/>
          <w:color w:val="auto"/>
          <w:sz w:val="24"/>
          <w:lang w:eastAsia="zh-CN"/>
        </w:rPr>
        <w:t>，</w:t>
      </w:r>
      <w:r>
        <w:rPr>
          <w:rFonts w:hint="eastAsia" w:ascii="宋体" w:hAnsi="宋体" w:eastAsia="宋体" w:cs="宋体"/>
          <w:color w:val="auto"/>
          <w:sz w:val="24"/>
        </w:rPr>
        <w:t>多场所（多名称）情况：</w:t>
      </w:r>
      <w:r>
        <w:rPr>
          <w:rFonts w:hint="eastAsia" w:ascii="宋体" w:hAnsi="宋体" w:eastAsia="宋体" w:cs="宋体"/>
          <w:color w:val="auto"/>
          <w:sz w:val="24"/>
          <w:lang w:eastAsia="zh-CN"/>
        </w:rPr>
        <w:t>（）无（）有</w:t>
      </w:r>
      <w:r>
        <w:rPr>
          <w:rFonts w:hint="eastAsia" w:ascii="宋体" w:hAnsi="宋体" w:cs="宋体"/>
          <w:color w:val="auto"/>
          <w:sz w:val="24"/>
          <w:lang w:eastAsia="zh-CN"/>
        </w:rPr>
        <w:t>，</w:t>
      </w:r>
      <w:r>
        <w:rPr>
          <w:rFonts w:hint="eastAsia" w:ascii="宋体" w:hAnsi="宋体" w:eastAsia="宋体" w:cs="宋体"/>
          <w:color w:val="auto"/>
          <w:sz w:val="24"/>
        </w:rPr>
        <w:t>见甲方填报《管理体系</w:t>
      </w:r>
      <w:r>
        <w:rPr>
          <w:rFonts w:hint="eastAsia" w:ascii="宋体" w:hAnsi="宋体" w:cs="宋体"/>
          <w:color w:val="auto"/>
          <w:sz w:val="24"/>
          <w:lang w:val="en-US" w:eastAsia="zh-CN"/>
        </w:rPr>
        <w:t>、</w:t>
      </w:r>
      <w:r>
        <w:rPr>
          <w:rFonts w:hint="eastAsia" w:ascii="宋体" w:hAnsi="宋体" w:eastAsia="宋体" w:cs="宋体"/>
          <w:color w:val="auto"/>
          <w:sz w:val="24"/>
        </w:rPr>
        <w:t>服务认证申请书》附件：《固定多场所/临时多场所/多名称组织分布情况表》</w:t>
      </w:r>
      <w:r>
        <w:rPr>
          <w:rFonts w:hint="eastAsia" w:ascii="宋体" w:hAnsi="宋体" w:cs="宋体"/>
          <w:color w:val="auto"/>
          <w:sz w:val="24"/>
          <w:lang w:eastAsia="zh-CN"/>
        </w:rPr>
        <w:t>，</w:t>
      </w:r>
      <w:r>
        <w:rPr>
          <w:rFonts w:hint="eastAsia" w:ascii="宋体" w:hAnsi="宋体" w:eastAsia="宋体" w:cs="宋体"/>
          <w:color w:val="auto"/>
          <w:sz w:val="24"/>
        </w:rPr>
        <w:t>甲方应标明管理体系覆盖的每个多场所（多名称）对应覆盖的产品/服务范围</w:t>
      </w:r>
      <w:r>
        <w:rPr>
          <w:rFonts w:hint="eastAsia" w:ascii="宋体" w:hAnsi="宋体" w:cs="宋体"/>
          <w:color w:val="auto"/>
          <w:sz w:val="24"/>
          <w:lang w:eastAsia="zh-CN"/>
        </w:rPr>
        <w:t>，</w:t>
      </w:r>
      <w:r>
        <w:rPr>
          <w:rFonts w:hint="eastAsia" w:ascii="宋体" w:hAnsi="宋体" w:eastAsia="宋体" w:cs="宋体"/>
          <w:color w:val="auto"/>
          <w:sz w:val="24"/>
        </w:rPr>
        <w:t>并加盖公司公章。注：甲方体系能否获得批准认证注册及认证证书最终覆盖的产品/服务范围及多场所（多名称）范围以乙方认证决定结论为准。</w:t>
      </w:r>
    </w:p>
    <w:p w14:paraId="3E12CAD0">
      <w:pPr>
        <w:spacing w:line="42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Hans"/>
        </w:rPr>
        <w:t>二</w:t>
      </w:r>
      <w:r>
        <w:rPr>
          <w:rFonts w:hint="eastAsia" w:ascii="宋体" w:hAnsi="宋体" w:eastAsia="宋体" w:cs="宋体"/>
          <w:b w:val="0"/>
          <w:bCs w:val="0"/>
          <w:color w:val="auto"/>
          <w:sz w:val="24"/>
          <w:szCs w:val="24"/>
        </w:rPr>
        <w:t>、认证费用及付款方式</w:t>
      </w:r>
    </w:p>
    <w:p w14:paraId="51A7DD37">
      <w:pPr>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认证费用</w:t>
      </w:r>
      <w:r>
        <w:rPr>
          <w:rFonts w:hint="eastAsia" w:ascii="宋体" w:hAnsi="宋体" w:eastAsia="宋体" w:cs="宋体"/>
          <w:color w:val="auto"/>
          <w:sz w:val="24"/>
          <w:szCs w:val="24"/>
          <w:lang w:eastAsia="zh-CN"/>
        </w:rPr>
        <w:t>明细</w:t>
      </w:r>
    </w:p>
    <w:tbl>
      <w:tblPr>
        <w:tblStyle w:val="4"/>
        <w:tblpPr w:leftFromText="180" w:rightFromText="180" w:vertAnchor="text" w:tblpX="1" w:tblpY="1"/>
        <w:tblOverlap w:val="never"/>
        <w:tblW w:w="10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850"/>
        <w:gridCol w:w="1361"/>
        <w:gridCol w:w="850"/>
        <w:gridCol w:w="1361"/>
        <w:gridCol w:w="850"/>
        <w:gridCol w:w="1361"/>
        <w:gridCol w:w="1131"/>
      </w:tblGrid>
      <w:tr w14:paraId="7690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dxa"/>
            <w:vMerge w:val="restart"/>
            <w:noWrap w:val="0"/>
            <w:vAlign w:val="center"/>
          </w:tcPr>
          <w:p w14:paraId="4311AD0E">
            <w:pPr>
              <w:spacing w:line="360" w:lineRule="auto"/>
              <w:jc w:val="center"/>
              <w:textAlignment w:val="center"/>
              <w:rPr>
                <w:rFonts w:hint="eastAsia" w:ascii="宋体" w:hAnsi="宋体" w:eastAsia="宋体" w:cs="宋体"/>
                <w:color w:val="auto"/>
                <w:sz w:val="23"/>
              </w:rPr>
            </w:pPr>
            <w:r>
              <w:rPr>
                <w:rFonts w:hint="eastAsia" w:ascii="宋体" w:hAnsi="宋体" w:eastAsia="宋体" w:cs="宋体"/>
                <w:color w:val="auto"/>
                <w:sz w:val="23"/>
              </w:rPr>
              <w:t>认证领域</w:t>
            </w:r>
          </w:p>
        </w:tc>
        <w:tc>
          <w:tcPr>
            <w:tcW w:w="2211" w:type="dxa"/>
            <w:gridSpan w:val="2"/>
            <w:noWrap w:val="0"/>
            <w:vAlign w:val="center"/>
          </w:tcPr>
          <w:p w14:paraId="51E20120">
            <w:pPr>
              <w:spacing w:line="360" w:lineRule="auto"/>
              <w:jc w:val="center"/>
              <w:textAlignment w:val="center"/>
              <w:rPr>
                <w:rFonts w:hint="eastAsia" w:ascii="宋体" w:hAnsi="宋体" w:eastAsia="宋体" w:cs="宋体"/>
                <w:color w:val="auto"/>
                <w:kern w:val="2"/>
                <w:sz w:val="23"/>
                <w:szCs w:val="22"/>
                <w:lang w:val="en-US" w:eastAsia="zh-CN" w:bidi="ar-SA"/>
              </w:rPr>
            </w:pPr>
            <w:r>
              <w:rPr>
                <w:rFonts w:hint="eastAsia" w:ascii="宋体" w:hAnsi="宋体" w:eastAsia="宋体" w:cs="宋体"/>
                <w:color w:val="auto"/>
                <w:sz w:val="23"/>
                <w:lang w:eastAsia="zh-CN"/>
              </w:rPr>
              <w:t>初次认证</w:t>
            </w:r>
          </w:p>
        </w:tc>
        <w:tc>
          <w:tcPr>
            <w:tcW w:w="2211" w:type="dxa"/>
            <w:gridSpan w:val="2"/>
            <w:noWrap w:val="0"/>
            <w:vAlign w:val="center"/>
          </w:tcPr>
          <w:p w14:paraId="4FBBECCC">
            <w:pPr>
              <w:spacing w:line="360" w:lineRule="auto"/>
              <w:jc w:val="center"/>
              <w:textAlignment w:val="center"/>
              <w:rPr>
                <w:rFonts w:hint="eastAsia" w:ascii="宋体" w:hAnsi="宋体" w:eastAsia="宋体" w:cs="宋体"/>
                <w:color w:val="auto"/>
                <w:sz w:val="23"/>
              </w:rPr>
            </w:pPr>
            <w:r>
              <w:rPr>
                <w:rFonts w:hint="eastAsia" w:ascii="宋体" w:hAnsi="宋体" w:eastAsia="宋体" w:cs="宋体"/>
                <w:color w:val="auto"/>
                <w:sz w:val="23"/>
              </w:rPr>
              <w:t>监督审核</w:t>
            </w:r>
          </w:p>
        </w:tc>
        <w:tc>
          <w:tcPr>
            <w:tcW w:w="2211" w:type="dxa"/>
            <w:gridSpan w:val="2"/>
            <w:noWrap w:val="0"/>
            <w:vAlign w:val="center"/>
          </w:tcPr>
          <w:p w14:paraId="0B7F7923">
            <w:pPr>
              <w:spacing w:line="360" w:lineRule="auto"/>
              <w:jc w:val="center"/>
              <w:textAlignment w:val="center"/>
              <w:rPr>
                <w:rFonts w:hint="eastAsia" w:ascii="宋体" w:hAnsi="宋体" w:eastAsia="宋体" w:cs="宋体"/>
                <w:color w:val="auto"/>
                <w:sz w:val="23"/>
              </w:rPr>
            </w:pPr>
            <w:r>
              <w:rPr>
                <w:rFonts w:hint="eastAsia" w:ascii="宋体" w:hAnsi="宋体" w:eastAsia="宋体" w:cs="宋体"/>
                <w:color w:val="auto"/>
                <w:sz w:val="23"/>
              </w:rPr>
              <w:t>再认证</w:t>
            </w:r>
          </w:p>
        </w:tc>
        <w:tc>
          <w:tcPr>
            <w:tcW w:w="1131" w:type="dxa"/>
            <w:vMerge w:val="restart"/>
            <w:noWrap w:val="0"/>
            <w:vAlign w:val="center"/>
          </w:tcPr>
          <w:p w14:paraId="0CE51FD4">
            <w:pPr>
              <w:spacing w:line="360" w:lineRule="auto"/>
              <w:jc w:val="center"/>
              <w:textAlignment w:val="center"/>
              <w:rPr>
                <w:rFonts w:hint="eastAsia" w:ascii="宋体" w:hAnsi="宋体" w:eastAsia="宋体" w:cs="宋体"/>
                <w:color w:val="auto"/>
                <w:sz w:val="23"/>
              </w:rPr>
            </w:pPr>
            <w:r>
              <w:rPr>
                <w:rFonts w:hint="eastAsia" w:ascii="宋体" w:hAnsi="宋体" w:eastAsia="宋体" w:cs="宋体"/>
                <w:color w:val="auto"/>
                <w:sz w:val="23"/>
              </w:rPr>
              <w:t>备注</w:t>
            </w:r>
          </w:p>
        </w:tc>
      </w:tr>
      <w:tr w14:paraId="7327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dxa"/>
            <w:vMerge w:val="continue"/>
            <w:noWrap w:val="0"/>
            <w:vAlign w:val="center"/>
          </w:tcPr>
          <w:p w14:paraId="257045D6">
            <w:pPr>
              <w:spacing w:line="360" w:lineRule="auto"/>
              <w:textAlignment w:val="center"/>
              <w:rPr>
                <w:rFonts w:hint="eastAsia" w:ascii="宋体" w:hAnsi="宋体" w:eastAsia="宋体" w:cs="宋体"/>
                <w:color w:val="auto"/>
              </w:rPr>
            </w:pPr>
          </w:p>
        </w:tc>
        <w:tc>
          <w:tcPr>
            <w:tcW w:w="850" w:type="dxa"/>
            <w:noWrap w:val="0"/>
            <w:vAlign w:val="center"/>
          </w:tcPr>
          <w:p w14:paraId="2C6AE5B3">
            <w:pPr>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年度</w:t>
            </w:r>
          </w:p>
        </w:tc>
        <w:tc>
          <w:tcPr>
            <w:tcW w:w="1361" w:type="dxa"/>
            <w:noWrap w:val="0"/>
            <w:vAlign w:val="center"/>
          </w:tcPr>
          <w:p w14:paraId="7AC07148">
            <w:pPr>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费用</w:t>
            </w:r>
            <w:r>
              <w:rPr>
                <w:rFonts w:hint="eastAsia" w:ascii="宋体" w:hAnsi="宋体" w:eastAsia="宋体" w:cs="宋体"/>
                <w:color w:val="auto"/>
                <w:sz w:val="22"/>
                <w:szCs w:val="22"/>
                <w:lang w:eastAsia="zh-CN"/>
              </w:rPr>
              <w:t>（</w:t>
            </w:r>
            <w:r>
              <w:rPr>
                <w:rFonts w:hint="eastAsia" w:ascii="仿宋" w:hAnsi="仿宋" w:eastAsia="仿宋"/>
                <w:color w:val="auto"/>
                <w:sz w:val="22"/>
                <w:szCs w:val="22"/>
              </w:rPr>
              <w:t>￥</w:t>
            </w:r>
            <w:r>
              <w:rPr>
                <w:rFonts w:hint="eastAsia" w:ascii="宋体" w:hAnsi="宋体" w:eastAsia="宋体" w:cs="宋体"/>
                <w:color w:val="auto"/>
                <w:sz w:val="22"/>
                <w:szCs w:val="22"/>
                <w:lang w:eastAsia="zh-CN"/>
              </w:rPr>
              <w:t>）</w:t>
            </w:r>
          </w:p>
        </w:tc>
        <w:tc>
          <w:tcPr>
            <w:tcW w:w="850" w:type="dxa"/>
            <w:noWrap w:val="0"/>
            <w:vAlign w:val="center"/>
          </w:tcPr>
          <w:p w14:paraId="7B8C0857">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年度</w:t>
            </w:r>
          </w:p>
        </w:tc>
        <w:tc>
          <w:tcPr>
            <w:tcW w:w="1361" w:type="dxa"/>
            <w:noWrap w:val="0"/>
            <w:vAlign w:val="center"/>
          </w:tcPr>
          <w:p w14:paraId="3A3C0E20">
            <w:pPr>
              <w:spacing w:line="360" w:lineRule="auto"/>
              <w:jc w:val="center"/>
              <w:textAlignment w:val="center"/>
              <w:rPr>
                <w:color w:val="auto"/>
              </w:rPr>
            </w:pPr>
            <w:r>
              <w:rPr>
                <w:rFonts w:hint="eastAsia" w:ascii="宋体" w:hAnsi="宋体" w:eastAsia="宋体" w:cs="宋体"/>
                <w:color w:val="auto"/>
                <w:sz w:val="24"/>
                <w:szCs w:val="24"/>
              </w:rPr>
              <w:t>费用</w:t>
            </w:r>
            <w:r>
              <w:rPr>
                <w:rFonts w:hint="eastAsia" w:ascii="宋体" w:hAnsi="宋体" w:eastAsia="宋体" w:cs="宋体"/>
                <w:color w:val="auto"/>
                <w:sz w:val="22"/>
                <w:szCs w:val="22"/>
                <w:lang w:eastAsia="zh-CN"/>
              </w:rPr>
              <w:t>（</w:t>
            </w:r>
            <w:r>
              <w:rPr>
                <w:rFonts w:hint="eastAsia" w:ascii="仿宋" w:hAnsi="仿宋" w:eastAsia="仿宋"/>
                <w:color w:val="auto"/>
                <w:sz w:val="22"/>
                <w:szCs w:val="22"/>
              </w:rPr>
              <w:t>￥</w:t>
            </w:r>
            <w:r>
              <w:rPr>
                <w:rFonts w:hint="eastAsia" w:ascii="宋体" w:hAnsi="宋体" w:eastAsia="宋体" w:cs="宋体"/>
                <w:color w:val="auto"/>
                <w:sz w:val="22"/>
                <w:szCs w:val="22"/>
                <w:lang w:eastAsia="zh-CN"/>
              </w:rPr>
              <w:t>）</w:t>
            </w:r>
          </w:p>
        </w:tc>
        <w:tc>
          <w:tcPr>
            <w:tcW w:w="850" w:type="dxa"/>
            <w:noWrap w:val="0"/>
            <w:vAlign w:val="center"/>
          </w:tcPr>
          <w:p w14:paraId="3F50A974">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年度</w:t>
            </w:r>
          </w:p>
        </w:tc>
        <w:tc>
          <w:tcPr>
            <w:tcW w:w="1361" w:type="dxa"/>
            <w:noWrap w:val="0"/>
            <w:vAlign w:val="center"/>
          </w:tcPr>
          <w:p w14:paraId="40BD7017">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费用</w:t>
            </w:r>
            <w:r>
              <w:rPr>
                <w:rFonts w:hint="eastAsia" w:ascii="宋体" w:hAnsi="宋体" w:eastAsia="宋体" w:cs="宋体"/>
                <w:color w:val="auto"/>
                <w:sz w:val="22"/>
                <w:szCs w:val="22"/>
                <w:lang w:eastAsia="zh-CN"/>
              </w:rPr>
              <w:t>（</w:t>
            </w:r>
            <w:r>
              <w:rPr>
                <w:rFonts w:hint="eastAsia" w:ascii="仿宋" w:hAnsi="仿宋" w:eastAsia="仿宋"/>
                <w:color w:val="auto"/>
                <w:sz w:val="22"/>
                <w:szCs w:val="22"/>
              </w:rPr>
              <w:t>￥</w:t>
            </w:r>
            <w:r>
              <w:rPr>
                <w:rFonts w:hint="eastAsia" w:ascii="宋体" w:hAnsi="宋体" w:eastAsia="宋体" w:cs="宋体"/>
                <w:color w:val="auto"/>
                <w:sz w:val="22"/>
                <w:szCs w:val="22"/>
                <w:lang w:eastAsia="zh-CN"/>
              </w:rPr>
              <w:t>）</w:t>
            </w:r>
          </w:p>
        </w:tc>
        <w:tc>
          <w:tcPr>
            <w:tcW w:w="1131" w:type="dxa"/>
            <w:vMerge w:val="continue"/>
            <w:noWrap w:val="0"/>
            <w:vAlign w:val="center"/>
          </w:tcPr>
          <w:p w14:paraId="69EC995C">
            <w:pPr>
              <w:spacing w:line="360" w:lineRule="auto"/>
              <w:textAlignment w:val="center"/>
              <w:rPr>
                <w:rFonts w:hint="eastAsia" w:ascii="宋体" w:hAnsi="宋体" w:eastAsia="宋体" w:cs="宋体"/>
                <w:color w:val="auto"/>
              </w:rPr>
            </w:pPr>
          </w:p>
        </w:tc>
      </w:tr>
      <w:tr w14:paraId="3B16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dxa"/>
            <w:noWrap w:val="0"/>
            <w:vAlign w:val="center"/>
          </w:tcPr>
          <w:p w14:paraId="422C6B00">
            <w:pPr>
              <w:spacing w:line="360" w:lineRule="auto"/>
              <w:rPr>
                <w:rFonts w:hint="eastAsia" w:ascii="宋体" w:hAnsi="宋体" w:eastAsia="宋体" w:cs="宋体"/>
                <w:color w:val="auto"/>
                <w:sz w:val="21"/>
                <w:szCs w:val="21"/>
              </w:rPr>
            </w:pPr>
          </w:p>
        </w:tc>
        <w:tc>
          <w:tcPr>
            <w:tcW w:w="850" w:type="dxa"/>
            <w:noWrap w:val="0"/>
            <w:vAlign w:val="center"/>
          </w:tcPr>
          <w:p w14:paraId="2C6F6F8C">
            <w:pPr>
              <w:spacing w:line="360" w:lineRule="auto"/>
              <w:textAlignment w:val="center"/>
              <w:rPr>
                <w:rFonts w:hint="eastAsia" w:ascii="宋体" w:hAnsi="宋体" w:eastAsia="宋体" w:cs="宋体"/>
                <w:color w:val="auto"/>
                <w:kern w:val="2"/>
                <w:sz w:val="21"/>
                <w:szCs w:val="21"/>
                <w:lang w:val="en-US" w:eastAsia="zh-CN" w:bidi="ar-SA"/>
              </w:rPr>
            </w:pPr>
          </w:p>
        </w:tc>
        <w:tc>
          <w:tcPr>
            <w:tcW w:w="1361" w:type="dxa"/>
            <w:noWrap w:val="0"/>
            <w:vAlign w:val="center"/>
          </w:tcPr>
          <w:p w14:paraId="045094D5">
            <w:pPr>
              <w:spacing w:line="360" w:lineRule="auto"/>
              <w:textAlignment w:val="center"/>
              <w:rPr>
                <w:rFonts w:hint="eastAsia" w:ascii="宋体" w:hAnsi="宋体" w:eastAsia="宋体" w:cs="宋体"/>
                <w:color w:val="auto"/>
                <w:kern w:val="2"/>
                <w:sz w:val="21"/>
                <w:szCs w:val="21"/>
                <w:lang w:val="en-US" w:eastAsia="zh-CN" w:bidi="ar-SA"/>
              </w:rPr>
            </w:pPr>
          </w:p>
        </w:tc>
        <w:tc>
          <w:tcPr>
            <w:tcW w:w="850" w:type="dxa"/>
            <w:noWrap w:val="0"/>
            <w:vAlign w:val="center"/>
          </w:tcPr>
          <w:p w14:paraId="21DAAB26">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49E306A9">
            <w:pPr>
              <w:spacing w:line="360" w:lineRule="auto"/>
              <w:textAlignment w:val="center"/>
              <w:rPr>
                <w:color w:val="auto"/>
              </w:rPr>
            </w:pPr>
          </w:p>
        </w:tc>
        <w:tc>
          <w:tcPr>
            <w:tcW w:w="850" w:type="dxa"/>
            <w:noWrap w:val="0"/>
            <w:vAlign w:val="center"/>
          </w:tcPr>
          <w:p w14:paraId="11341F5F">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2EB829C9">
            <w:pPr>
              <w:spacing w:line="360" w:lineRule="auto"/>
              <w:textAlignment w:val="center"/>
              <w:rPr>
                <w:rFonts w:hint="eastAsia" w:ascii="宋体" w:hAnsi="宋体" w:eastAsia="宋体" w:cs="宋体"/>
                <w:color w:val="auto"/>
                <w:sz w:val="21"/>
                <w:szCs w:val="21"/>
              </w:rPr>
            </w:pPr>
          </w:p>
        </w:tc>
        <w:tc>
          <w:tcPr>
            <w:tcW w:w="1131" w:type="dxa"/>
            <w:noWrap w:val="0"/>
            <w:vAlign w:val="center"/>
          </w:tcPr>
          <w:p w14:paraId="08F9FDC7">
            <w:pPr>
              <w:spacing w:line="360" w:lineRule="auto"/>
              <w:textAlignment w:val="center"/>
              <w:rPr>
                <w:rFonts w:hint="eastAsia" w:ascii="宋体" w:hAnsi="宋体" w:eastAsia="宋体" w:cs="宋体"/>
                <w:color w:val="auto"/>
                <w:sz w:val="21"/>
                <w:szCs w:val="21"/>
              </w:rPr>
            </w:pPr>
          </w:p>
        </w:tc>
      </w:tr>
      <w:tr w14:paraId="24C6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dxa"/>
            <w:noWrap w:val="0"/>
            <w:vAlign w:val="center"/>
          </w:tcPr>
          <w:p w14:paraId="54BD78B4">
            <w:pPr>
              <w:spacing w:line="360" w:lineRule="auto"/>
              <w:rPr>
                <w:rFonts w:hint="eastAsia" w:ascii="宋体" w:hAnsi="宋体" w:eastAsia="宋体" w:cs="宋体"/>
                <w:color w:val="auto"/>
                <w:sz w:val="21"/>
                <w:szCs w:val="21"/>
              </w:rPr>
            </w:pPr>
          </w:p>
        </w:tc>
        <w:tc>
          <w:tcPr>
            <w:tcW w:w="850" w:type="dxa"/>
            <w:noWrap w:val="0"/>
            <w:vAlign w:val="center"/>
          </w:tcPr>
          <w:p w14:paraId="0BC25BA2">
            <w:pPr>
              <w:spacing w:line="360" w:lineRule="auto"/>
              <w:textAlignment w:val="center"/>
              <w:rPr>
                <w:rFonts w:hint="eastAsia" w:ascii="宋体" w:hAnsi="宋体" w:eastAsia="宋体" w:cs="宋体"/>
                <w:color w:val="auto"/>
                <w:kern w:val="2"/>
                <w:sz w:val="21"/>
                <w:szCs w:val="21"/>
                <w:lang w:val="en-US" w:eastAsia="zh-CN" w:bidi="ar-SA"/>
              </w:rPr>
            </w:pPr>
          </w:p>
        </w:tc>
        <w:tc>
          <w:tcPr>
            <w:tcW w:w="1361" w:type="dxa"/>
            <w:noWrap w:val="0"/>
            <w:vAlign w:val="center"/>
          </w:tcPr>
          <w:p w14:paraId="38A9E122">
            <w:pPr>
              <w:spacing w:line="360" w:lineRule="auto"/>
              <w:textAlignment w:val="center"/>
              <w:rPr>
                <w:rFonts w:hint="eastAsia" w:ascii="宋体" w:hAnsi="宋体" w:eastAsia="宋体" w:cs="宋体"/>
                <w:color w:val="auto"/>
                <w:kern w:val="2"/>
                <w:sz w:val="21"/>
                <w:szCs w:val="21"/>
                <w:lang w:val="en-US" w:eastAsia="zh-CN" w:bidi="ar-SA"/>
              </w:rPr>
            </w:pPr>
          </w:p>
        </w:tc>
        <w:tc>
          <w:tcPr>
            <w:tcW w:w="850" w:type="dxa"/>
            <w:noWrap w:val="0"/>
            <w:vAlign w:val="center"/>
          </w:tcPr>
          <w:p w14:paraId="58AFF9C1">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49F5A8E5">
            <w:pPr>
              <w:spacing w:line="360" w:lineRule="auto"/>
              <w:textAlignment w:val="center"/>
              <w:rPr>
                <w:color w:val="auto"/>
              </w:rPr>
            </w:pPr>
          </w:p>
        </w:tc>
        <w:tc>
          <w:tcPr>
            <w:tcW w:w="850" w:type="dxa"/>
            <w:noWrap w:val="0"/>
            <w:vAlign w:val="center"/>
          </w:tcPr>
          <w:p w14:paraId="024A30D2">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1413E634">
            <w:pPr>
              <w:spacing w:line="360" w:lineRule="auto"/>
              <w:textAlignment w:val="center"/>
              <w:rPr>
                <w:rFonts w:hint="eastAsia" w:ascii="宋体" w:hAnsi="宋体" w:eastAsia="宋体" w:cs="宋体"/>
                <w:color w:val="auto"/>
                <w:sz w:val="21"/>
                <w:szCs w:val="21"/>
              </w:rPr>
            </w:pPr>
          </w:p>
        </w:tc>
        <w:tc>
          <w:tcPr>
            <w:tcW w:w="1131" w:type="dxa"/>
            <w:noWrap w:val="0"/>
            <w:vAlign w:val="center"/>
          </w:tcPr>
          <w:p w14:paraId="7781D0A3">
            <w:pPr>
              <w:spacing w:line="360" w:lineRule="auto"/>
              <w:textAlignment w:val="center"/>
              <w:rPr>
                <w:rFonts w:hint="eastAsia" w:ascii="宋体" w:hAnsi="宋体" w:eastAsia="宋体" w:cs="宋体"/>
                <w:color w:val="auto"/>
                <w:sz w:val="21"/>
                <w:szCs w:val="21"/>
              </w:rPr>
            </w:pPr>
          </w:p>
        </w:tc>
      </w:tr>
      <w:tr w14:paraId="4853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dxa"/>
            <w:noWrap w:val="0"/>
            <w:vAlign w:val="center"/>
          </w:tcPr>
          <w:p w14:paraId="3FB8840E">
            <w:pPr>
              <w:spacing w:line="360" w:lineRule="auto"/>
              <w:rPr>
                <w:rFonts w:hint="eastAsia" w:ascii="宋体" w:hAnsi="宋体" w:eastAsia="宋体" w:cs="宋体"/>
                <w:color w:val="auto"/>
                <w:sz w:val="21"/>
                <w:szCs w:val="21"/>
              </w:rPr>
            </w:pPr>
          </w:p>
        </w:tc>
        <w:tc>
          <w:tcPr>
            <w:tcW w:w="850" w:type="dxa"/>
            <w:noWrap w:val="0"/>
            <w:vAlign w:val="center"/>
          </w:tcPr>
          <w:p w14:paraId="435103A8">
            <w:pPr>
              <w:spacing w:line="360" w:lineRule="auto"/>
              <w:textAlignment w:val="center"/>
              <w:rPr>
                <w:rFonts w:hint="eastAsia" w:ascii="宋体" w:hAnsi="宋体" w:eastAsia="宋体" w:cs="宋体"/>
                <w:color w:val="auto"/>
                <w:kern w:val="2"/>
                <w:sz w:val="21"/>
                <w:szCs w:val="21"/>
                <w:lang w:val="en-US" w:eastAsia="zh-CN" w:bidi="ar-SA"/>
              </w:rPr>
            </w:pPr>
          </w:p>
        </w:tc>
        <w:tc>
          <w:tcPr>
            <w:tcW w:w="1361" w:type="dxa"/>
            <w:noWrap w:val="0"/>
            <w:vAlign w:val="center"/>
          </w:tcPr>
          <w:p w14:paraId="33C67375">
            <w:pPr>
              <w:spacing w:line="360" w:lineRule="auto"/>
              <w:textAlignment w:val="center"/>
              <w:rPr>
                <w:rFonts w:hint="eastAsia" w:ascii="宋体" w:hAnsi="宋体" w:eastAsia="宋体" w:cs="宋体"/>
                <w:color w:val="auto"/>
                <w:kern w:val="2"/>
                <w:sz w:val="21"/>
                <w:szCs w:val="21"/>
                <w:lang w:val="en-US" w:eastAsia="zh-CN" w:bidi="ar-SA"/>
              </w:rPr>
            </w:pPr>
          </w:p>
        </w:tc>
        <w:tc>
          <w:tcPr>
            <w:tcW w:w="850" w:type="dxa"/>
            <w:noWrap w:val="0"/>
            <w:vAlign w:val="center"/>
          </w:tcPr>
          <w:p w14:paraId="787239D9">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6EACC1B4">
            <w:pPr>
              <w:spacing w:line="360" w:lineRule="auto"/>
              <w:textAlignment w:val="center"/>
              <w:rPr>
                <w:color w:val="auto"/>
              </w:rPr>
            </w:pPr>
          </w:p>
        </w:tc>
        <w:tc>
          <w:tcPr>
            <w:tcW w:w="850" w:type="dxa"/>
            <w:noWrap w:val="0"/>
            <w:vAlign w:val="center"/>
          </w:tcPr>
          <w:p w14:paraId="11BDDBCF">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299A1AE7">
            <w:pPr>
              <w:spacing w:line="360" w:lineRule="auto"/>
              <w:textAlignment w:val="center"/>
              <w:rPr>
                <w:rFonts w:hint="eastAsia" w:ascii="宋体" w:hAnsi="宋体" w:eastAsia="宋体" w:cs="宋体"/>
                <w:color w:val="auto"/>
                <w:sz w:val="21"/>
                <w:szCs w:val="21"/>
              </w:rPr>
            </w:pPr>
          </w:p>
        </w:tc>
        <w:tc>
          <w:tcPr>
            <w:tcW w:w="1131" w:type="dxa"/>
            <w:noWrap w:val="0"/>
            <w:vAlign w:val="center"/>
          </w:tcPr>
          <w:p w14:paraId="52FB7D56">
            <w:pPr>
              <w:spacing w:line="360" w:lineRule="auto"/>
              <w:textAlignment w:val="center"/>
              <w:rPr>
                <w:rFonts w:hint="eastAsia" w:ascii="宋体" w:hAnsi="宋体" w:eastAsia="宋体" w:cs="宋体"/>
                <w:color w:val="auto"/>
                <w:sz w:val="21"/>
                <w:szCs w:val="21"/>
              </w:rPr>
            </w:pPr>
          </w:p>
        </w:tc>
      </w:tr>
      <w:tr w14:paraId="7C10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dxa"/>
            <w:noWrap w:val="0"/>
            <w:vAlign w:val="center"/>
          </w:tcPr>
          <w:p w14:paraId="1237E0F7">
            <w:pPr>
              <w:spacing w:line="360" w:lineRule="auto"/>
              <w:rPr>
                <w:rFonts w:hint="eastAsia" w:ascii="宋体" w:hAnsi="宋体" w:eastAsia="宋体" w:cs="宋体"/>
                <w:color w:val="auto"/>
                <w:sz w:val="21"/>
                <w:szCs w:val="21"/>
              </w:rPr>
            </w:pPr>
          </w:p>
        </w:tc>
        <w:tc>
          <w:tcPr>
            <w:tcW w:w="850" w:type="dxa"/>
            <w:noWrap w:val="0"/>
            <w:vAlign w:val="center"/>
          </w:tcPr>
          <w:p w14:paraId="6CE7876F">
            <w:pPr>
              <w:spacing w:line="360" w:lineRule="auto"/>
              <w:textAlignment w:val="center"/>
              <w:rPr>
                <w:rFonts w:hint="eastAsia" w:ascii="宋体" w:hAnsi="宋体" w:eastAsia="宋体" w:cs="宋体"/>
                <w:color w:val="auto"/>
                <w:kern w:val="2"/>
                <w:sz w:val="21"/>
                <w:szCs w:val="21"/>
                <w:lang w:val="en-US" w:eastAsia="zh-CN" w:bidi="ar-SA"/>
              </w:rPr>
            </w:pPr>
          </w:p>
        </w:tc>
        <w:tc>
          <w:tcPr>
            <w:tcW w:w="1361" w:type="dxa"/>
            <w:noWrap w:val="0"/>
            <w:vAlign w:val="center"/>
          </w:tcPr>
          <w:p w14:paraId="18C8079E">
            <w:pPr>
              <w:spacing w:line="360" w:lineRule="auto"/>
              <w:textAlignment w:val="center"/>
              <w:rPr>
                <w:rFonts w:hint="eastAsia" w:ascii="宋体" w:hAnsi="宋体" w:eastAsia="宋体" w:cs="宋体"/>
                <w:color w:val="auto"/>
                <w:kern w:val="2"/>
                <w:sz w:val="21"/>
                <w:szCs w:val="21"/>
                <w:lang w:val="en-US" w:eastAsia="zh-CN" w:bidi="ar-SA"/>
              </w:rPr>
            </w:pPr>
          </w:p>
        </w:tc>
        <w:tc>
          <w:tcPr>
            <w:tcW w:w="850" w:type="dxa"/>
            <w:noWrap w:val="0"/>
            <w:vAlign w:val="center"/>
          </w:tcPr>
          <w:p w14:paraId="4A54CD3E">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7C6E3171">
            <w:pPr>
              <w:spacing w:line="360" w:lineRule="auto"/>
              <w:textAlignment w:val="center"/>
              <w:rPr>
                <w:color w:val="auto"/>
              </w:rPr>
            </w:pPr>
          </w:p>
        </w:tc>
        <w:tc>
          <w:tcPr>
            <w:tcW w:w="850" w:type="dxa"/>
            <w:noWrap w:val="0"/>
            <w:vAlign w:val="center"/>
          </w:tcPr>
          <w:p w14:paraId="30247D07">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450C990D">
            <w:pPr>
              <w:spacing w:line="360" w:lineRule="auto"/>
              <w:textAlignment w:val="center"/>
              <w:rPr>
                <w:rFonts w:hint="eastAsia" w:ascii="宋体" w:hAnsi="宋体" w:eastAsia="宋体" w:cs="宋体"/>
                <w:color w:val="auto"/>
                <w:sz w:val="21"/>
                <w:szCs w:val="21"/>
              </w:rPr>
            </w:pPr>
          </w:p>
        </w:tc>
        <w:tc>
          <w:tcPr>
            <w:tcW w:w="1131" w:type="dxa"/>
            <w:noWrap w:val="0"/>
            <w:vAlign w:val="center"/>
          </w:tcPr>
          <w:p w14:paraId="321CDC82">
            <w:pPr>
              <w:spacing w:line="360" w:lineRule="auto"/>
              <w:textAlignment w:val="center"/>
              <w:rPr>
                <w:rFonts w:hint="eastAsia" w:ascii="宋体" w:hAnsi="宋体" w:eastAsia="宋体" w:cs="宋体"/>
                <w:color w:val="auto"/>
                <w:sz w:val="21"/>
                <w:szCs w:val="21"/>
              </w:rPr>
            </w:pPr>
          </w:p>
        </w:tc>
      </w:tr>
      <w:tr w14:paraId="5DCA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dxa"/>
            <w:noWrap w:val="0"/>
            <w:vAlign w:val="center"/>
          </w:tcPr>
          <w:p w14:paraId="56C23409">
            <w:pPr>
              <w:spacing w:line="360" w:lineRule="auto"/>
              <w:rPr>
                <w:rFonts w:hint="eastAsia" w:ascii="宋体" w:hAnsi="宋体" w:eastAsia="宋体" w:cs="宋体"/>
                <w:color w:val="auto"/>
                <w:sz w:val="21"/>
                <w:szCs w:val="21"/>
              </w:rPr>
            </w:pPr>
          </w:p>
        </w:tc>
        <w:tc>
          <w:tcPr>
            <w:tcW w:w="850" w:type="dxa"/>
            <w:noWrap w:val="0"/>
            <w:vAlign w:val="center"/>
          </w:tcPr>
          <w:p w14:paraId="0EE2777D">
            <w:pPr>
              <w:spacing w:line="360" w:lineRule="auto"/>
              <w:textAlignment w:val="center"/>
              <w:rPr>
                <w:rFonts w:hint="eastAsia" w:ascii="宋体" w:hAnsi="宋体" w:eastAsia="宋体" w:cs="宋体"/>
                <w:color w:val="auto"/>
                <w:kern w:val="2"/>
                <w:sz w:val="21"/>
                <w:szCs w:val="21"/>
                <w:lang w:val="en-US" w:eastAsia="zh-CN" w:bidi="ar-SA"/>
              </w:rPr>
            </w:pPr>
          </w:p>
        </w:tc>
        <w:tc>
          <w:tcPr>
            <w:tcW w:w="1361" w:type="dxa"/>
            <w:noWrap w:val="0"/>
            <w:vAlign w:val="center"/>
          </w:tcPr>
          <w:p w14:paraId="7D64ECE7">
            <w:pPr>
              <w:spacing w:line="360" w:lineRule="auto"/>
              <w:textAlignment w:val="center"/>
              <w:rPr>
                <w:rFonts w:hint="eastAsia" w:ascii="宋体" w:hAnsi="宋体" w:eastAsia="宋体" w:cs="宋体"/>
                <w:color w:val="auto"/>
                <w:kern w:val="2"/>
                <w:sz w:val="21"/>
                <w:szCs w:val="21"/>
                <w:lang w:val="en-US" w:eastAsia="zh-CN" w:bidi="ar-SA"/>
              </w:rPr>
            </w:pPr>
          </w:p>
        </w:tc>
        <w:tc>
          <w:tcPr>
            <w:tcW w:w="850" w:type="dxa"/>
            <w:noWrap w:val="0"/>
            <w:vAlign w:val="center"/>
          </w:tcPr>
          <w:p w14:paraId="74931714">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4E837459">
            <w:pPr>
              <w:spacing w:line="360" w:lineRule="auto"/>
              <w:textAlignment w:val="center"/>
              <w:rPr>
                <w:color w:val="auto"/>
              </w:rPr>
            </w:pPr>
          </w:p>
        </w:tc>
        <w:tc>
          <w:tcPr>
            <w:tcW w:w="850" w:type="dxa"/>
            <w:noWrap w:val="0"/>
            <w:vAlign w:val="center"/>
          </w:tcPr>
          <w:p w14:paraId="5DD808AA">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0355BBAC">
            <w:pPr>
              <w:spacing w:line="360" w:lineRule="auto"/>
              <w:textAlignment w:val="center"/>
              <w:rPr>
                <w:rFonts w:hint="eastAsia" w:ascii="宋体" w:hAnsi="宋体" w:eastAsia="宋体" w:cs="宋体"/>
                <w:color w:val="auto"/>
                <w:sz w:val="21"/>
                <w:szCs w:val="21"/>
              </w:rPr>
            </w:pPr>
          </w:p>
        </w:tc>
        <w:tc>
          <w:tcPr>
            <w:tcW w:w="1131" w:type="dxa"/>
            <w:noWrap w:val="0"/>
            <w:vAlign w:val="center"/>
          </w:tcPr>
          <w:p w14:paraId="439C1531">
            <w:pPr>
              <w:spacing w:line="360" w:lineRule="auto"/>
              <w:textAlignment w:val="center"/>
              <w:rPr>
                <w:rFonts w:hint="eastAsia" w:ascii="宋体" w:hAnsi="宋体" w:eastAsia="宋体" w:cs="宋体"/>
                <w:color w:val="auto"/>
                <w:sz w:val="21"/>
                <w:szCs w:val="21"/>
              </w:rPr>
            </w:pPr>
          </w:p>
        </w:tc>
      </w:tr>
      <w:tr w14:paraId="7E3A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99" w:type="dxa"/>
            <w:noWrap w:val="0"/>
            <w:vAlign w:val="center"/>
          </w:tcPr>
          <w:p w14:paraId="156DF3FF">
            <w:pPr>
              <w:spacing w:line="360" w:lineRule="auto"/>
              <w:rPr>
                <w:rFonts w:hint="eastAsia" w:ascii="宋体" w:hAnsi="宋体" w:eastAsia="宋体" w:cs="宋体"/>
                <w:color w:val="auto"/>
                <w:sz w:val="21"/>
                <w:szCs w:val="21"/>
              </w:rPr>
            </w:pPr>
          </w:p>
        </w:tc>
        <w:tc>
          <w:tcPr>
            <w:tcW w:w="850" w:type="dxa"/>
            <w:noWrap w:val="0"/>
            <w:vAlign w:val="center"/>
          </w:tcPr>
          <w:p w14:paraId="518F5839">
            <w:pPr>
              <w:spacing w:line="360" w:lineRule="auto"/>
              <w:textAlignment w:val="center"/>
              <w:rPr>
                <w:rFonts w:hint="eastAsia" w:ascii="宋体" w:hAnsi="宋体" w:eastAsia="宋体" w:cs="宋体"/>
                <w:color w:val="auto"/>
                <w:kern w:val="2"/>
                <w:sz w:val="21"/>
                <w:szCs w:val="21"/>
                <w:lang w:val="en-US" w:eastAsia="zh-CN" w:bidi="ar-SA"/>
              </w:rPr>
            </w:pPr>
          </w:p>
        </w:tc>
        <w:tc>
          <w:tcPr>
            <w:tcW w:w="1361" w:type="dxa"/>
            <w:noWrap w:val="0"/>
            <w:vAlign w:val="center"/>
          </w:tcPr>
          <w:p w14:paraId="22FAC11A">
            <w:pPr>
              <w:spacing w:line="360" w:lineRule="auto"/>
              <w:textAlignment w:val="center"/>
              <w:rPr>
                <w:rFonts w:hint="eastAsia" w:ascii="宋体" w:hAnsi="宋体" w:eastAsia="宋体" w:cs="宋体"/>
                <w:color w:val="auto"/>
                <w:kern w:val="2"/>
                <w:sz w:val="21"/>
                <w:szCs w:val="21"/>
                <w:lang w:val="en-US" w:eastAsia="zh-CN" w:bidi="ar-SA"/>
              </w:rPr>
            </w:pPr>
          </w:p>
        </w:tc>
        <w:tc>
          <w:tcPr>
            <w:tcW w:w="850" w:type="dxa"/>
            <w:noWrap w:val="0"/>
            <w:vAlign w:val="center"/>
          </w:tcPr>
          <w:p w14:paraId="353EC7AF">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3F4CFBB6">
            <w:pPr>
              <w:spacing w:line="360" w:lineRule="auto"/>
              <w:textAlignment w:val="center"/>
              <w:rPr>
                <w:color w:val="auto"/>
              </w:rPr>
            </w:pPr>
          </w:p>
        </w:tc>
        <w:tc>
          <w:tcPr>
            <w:tcW w:w="850" w:type="dxa"/>
            <w:noWrap w:val="0"/>
            <w:vAlign w:val="center"/>
          </w:tcPr>
          <w:p w14:paraId="3A690F7A">
            <w:pPr>
              <w:spacing w:line="360" w:lineRule="auto"/>
              <w:textAlignment w:val="center"/>
              <w:rPr>
                <w:rFonts w:hint="eastAsia" w:ascii="宋体" w:hAnsi="宋体" w:eastAsia="宋体" w:cs="宋体"/>
                <w:color w:val="auto"/>
                <w:sz w:val="21"/>
                <w:szCs w:val="21"/>
              </w:rPr>
            </w:pPr>
          </w:p>
        </w:tc>
        <w:tc>
          <w:tcPr>
            <w:tcW w:w="1361" w:type="dxa"/>
            <w:noWrap w:val="0"/>
            <w:vAlign w:val="center"/>
          </w:tcPr>
          <w:p w14:paraId="216FC3DA">
            <w:pPr>
              <w:spacing w:line="360" w:lineRule="auto"/>
              <w:textAlignment w:val="center"/>
              <w:rPr>
                <w:rFonts w:hint="eastAsia" w:ascii="宋体" w:hAnsi="宋体" w:eastAsia="宋体" w:cs="宋体"/>
                <w:color w:val="auto"/>
                <w:sz w:val="21"/>
                <w:szCs w:val="21"/>
              </w:rPr>
            </w:pPr>
          </w:p>
        </w:tc>
        <w:tc>
          <w:tcPr>
            <w:tcW w:w="1131" w:type="dxa"/>
            <w:noWrap w:val="0"/>
            <w:vAlign w:val="center"/>
          </w:tcPr>
          <w:p w14:paraId="29675C74">
            <w:pPr>
              <w:spacing w:line="360" w:lineRule="auto"/>
              <w:textAlignment w:val="center"/>
              <w:rPr>
                <w:rFonts w:hint="eastAsia" w:ascii="宋体" w:hAnsi="宋体" w:eastAsia="宋体" w:cs="宋体"/>
                <w:color w:val="auto"/>
                <w:sz w:val="21"/>
                <w:szCs w:val="21"/>
              </w:rPr>
            </w:pPr>
          </w:p>
        </w:tc>
      </w:tr>
    </w:tbl>
    <w:p w14:paraId="45E9A68F">
      <w:pPr>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交费说明</w:t>
      </w:r>
    </w:p>
    <w:p w14:paraId="313369A3">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应交认证</w:t>
      </w:r>
      <w:r>
        <w:rPr>
          <w:rFonts w:hint="eastAsia" w:ascii="宋体" w:hAnsi="宋体" w:eastAsia="宋体" w:cs="宋体"/>
          <w:color w:val="auto"/>
          <w:sz w:val="24"/>
          <w:szCs w:val="24"/>
        </w:rPr>
        <w:t>费</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p>
    <w:p w14:paraId="23452EAF">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应交认证</w:t>
      </w:r>
      <w:r>
        <w:rPr>
          <w:rFonts w:hint="eastAsia" w:ascii="宋体" w:hAnsi="宋体" w:eastAsia="宋体" w:cs="宋体"/>
          <w:color w:val="auto"/>
          <w:sz w:val="24"/>
          <w:szCs w:val="24"/>
        </w:rPr>
        <w:t>费</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p>
    <w:p w14:paraId="19EEBAE4">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应交认证</w:t>
      </w:r>
      <w:r>
        <w:rPr>
          <w:rFonts w:hint="eastAsia" w:ascii="宋体" w:hAnsi="宋体" w:eastAsia="宋体" w:cs="宋体"/>
          <w:color w:val="auto"/>
          <w:sz w:val="24"/>
          <w:szCs w:val="24"/>
        </w:rPr>
        <w:t>费</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p>
    <w:p w14:paraId="34E0589D">
      <w:pPr>
        <w:spacing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应交认证</w:t>
      </w:r>
      <w:r>
        <w:rPr>
          <w:rFonts w:hint="eastAsia" w:ascii="宋体" w:hAnsi="宋体" w:eastAsia="宋体" w:cs="宋体"/>
          <w:color w:val="auto"/>
          <w:sz w:val="24"/>
          <w:szCs w:val="24"/>
        </w:rPr>
        <w:t>费</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p>
    <w:p w14:paraId="731AFFC6">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当发生以上其中的一项审核认证费时甲方应于现场审核前30日内一次性交纳。如组织因证书遗失或业务需求等原因需加印证书副本，加印费用按每套100元计；如组织因工商名称变更或注册地址变更等原因需重新制作证书，制证费用按每套200元计。本合同费用基于客户申请的认证范围与规模核算，审核发现审核范围与规模发生变化时将依据收费标准相应增减相关费用。</w:t>
      </w:r>
    </w:p>
    <w:p w14:paraId="1E02DD92">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w:t>
      </w:r>
      <w:r>
        <w:rPr>
          <w:rFonts w:hint="eastAsia" w:ascii="宋体" w:hAnsi="宋体" w:eastAsia="宋体" w:cs="宋体"/>
          <w:color w:val="auto"/>
          <w:sz w:val="24"/>
        </w:rPr>
        <w:t>上述费用不包括乙方审核员为甲方提供现场审核服务所发生的食宿、交通费用</w:t>
      </w:r>
      <w:r>
        <w:rPr>
          <w:rFonts w:hint="eastAsia" w:ascii="宋体" w:hAnsi="宋体" w:cs="宋体"/>
          <w:color w:val="auto"/>
          <w:sz w:val="24"/>
          <w:lang w:eastAsia="zh-CN"/>
        </w:rPr>
        <w:t>，</w:t>
      </w:r>
      <w:r>
        <w:rPr>
          <w:rFonts w:hint="eastAsia" w:ascii="宋体" w:hAnsi="宋体" w:eastAsia="宋体" w:cs="宋体"/>
          <w:color w:val="auto"/>
          <w:sz w:val="24"/>
        </w:rPr>
        <w:t>该部分费用由甲方承担。</w:t>
      </w:r>
    </w:p>
    <w:p w14:paraId="7A9831C9">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cs="宋体"/>
          <w:color w:val="auto"/>
          <w:sz w:val="24"/>
          <w:lang w:eastAsia="zh-CN"/>
        </w:rPr>
        <w:t>.</w:t>
      </w:r>
      <w:r>
        <w:rPr>
          <w:rFonts w:hint="eastAsia" w:ascii="宋体" w:hAnsi="宋体" w:eastAsia="宋体" w:cs="宋体"/>
          <w:color w:val="auto"/>
          <w:sz w:val="24"/>
        </w:rPr>
        <w:t>因甲方原因造成需要额外补充进行的现场审核费用由甲方承担</w:t>
      </w:r>
      <w:r>
        <w:rPr>
          <w:rFonts w:hint="eastAsia" w:ascii="宋体" w:hAnsi="宋体" w:cs="宋体"/>
          <w:color w:val="auto"/>
          <w:sz w:val="24"/>
          <w:lang w:eastAsia="zh-CN"/>
        </w:rPr>
        <w:t>，</w:t>
      </w:r>
      <w:r>
        <w:rPr>
          <w:rFonts w:hint="eastAsia" w:ascii="宋体" w:hAnsi="宋体" w:eastAsia="宋体" w:cs="宋体"/>
          <w:color w:val="auto"/>
          <w:sz w:val="24"/>
        </w:rPr>
        <w:t>具体数额双方另行</w:t>
      </w:r>
      <w:r>
        <w:rPr>
          <w:rFonts w:hint="eastAsia" w:ascii="宋体" w:hAnsi="宋体" w:cs="宋体"/>
          <w:color w:val="auto"/>
          <w:sz w:val="24"/>
          <w:lang w:val="en-US" w:eastAsia="zh-CN"/>
        </w:rPr>
        <w:t>协商</w:t>
      </w:r>
      <w:r>
        <w:rPr>
          <w:rFonts w:hint="eastAsia" w:ascii="宋体" w:hAnsi="宋体" w:eastAsia="宋体" w:cs="宋体"/>
          <w:color w:val="auto"/>
          <w:sz w:val="24"/>
        </w:rPr>
        <w:t>。</w:t>
      </w:r>
    </w:p>
    <w:p w14:paraId="26747E6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eastAsia="zh-CN"/>
        </w:rPr>
        <w:t>.</w:t>
      </w:r>
      <w:r>
        <w:rPr>
          <w:rFonts w:hint="eastAsia" w:ascii="宋体" w:hAnsi="宋体" w:eastAsia="宋体" w:cs="宋体"/>
          <w:color w:val="auto"/>
          <w:sz w:val="24"/>
        </w:rPr>
        <w:t>甲方同意将相关费用支付至乙方指定的账户中</w:t>
      </w:r>
      <w:r>
        <w:rPr>
          <w:rFonts w:hint="eastAsia" w:ascii="宋体" w:hAnsi="宋体" w:cs="宋体"/>
          <w:color w:val="auto"/>
          <w:sz w:val="24"/>
          <w:lang w:val="en-US" w:eastAsia="zh-CN"/>
        </w:rPr>
        <w:t>，可通过甲方所属的集团公司、事业单位、社会团体或机关支付</w:t>
      </w:r>
      <w:r>
        <w:rPr>
          <w:rFonts w:hint="eastAsia" w:ascii="宋体" w:hAnsi="宋体" w:cs="宋体"/>
          <w:color w:val="auto"/>
          <w:sz w:val="24"/>
          <w:lang w:eastAsia="zh-CN"/>
        </w:rPr>
        <w:t>，</w:t>
      </w:r>
      <w:r>
        <w:rPr>
          <w:rFonts w:hint="eastAsia" w:ascii="宋体" w:hAnsi="宋体" w:cs="宋体"/>
          <w:color w:val="auto"/>
          <w:sz w:val="24"/>
          <w:lang w:val="en-US" w:eastAsia="zh-CN"/>
        </w:rPr>
        <w:t>但不得通过第三方支付。</w:t>
      </w:r>
      <w:r>
        <w:rPr>
          <w:rFonts w:hint="eastAsia" w:ascii="宋体" w:hAnsi="宋体" w:eastAsia="宋体" w:cs="宋体"/>
          <w:color w:val="auto"/>
          <w:sz w:val="24"/>
        </w:rPr>
        <w:t>相关账户信息见签章处。</w:t>
      </w:r>
    </w:p>
    <w:p w14:paraId="799F70B6">
      <w:pPr>
        <w:spacing w:line="42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Hans"/>
        </w:rPr>
        <w:t>三、</w:t>
      </w:r>
      <w:r>
        <w:rPr>
          <w:rFonts w:hint="eastAsia" w:ascii="宋体" w:hAnsi="宋体" w:eastAsia="宋体" w:cs="宋体"/>
          <w:b w:val="0"/>
          <w:bCs w:val="0"/>
          <w:color w:val="auto"/>
          <w:sz w:val="24"/>
        </w:rPr>
        <w:t>甲方责任和权利</w:t>
      </w:r>
    </w:p>
    <w:p w14:paraId="60C01C4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1.始终遵守认证认可相关法律法规与乙方的相关认证程序等规定；</w:t>
      </w:r>
    </w:p>
    <w:p w14:paraId="6558D34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2.建立并持续有效运行相应的体系；</w:t>
      </w:r>
    </w:p>
    <w:p w14:paraId="4143379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3.体系正式运行至少三个月后</w:t>
      </w:r>
      <w:r>
        <w:rPr>
          <w:rFonts w:hint="eastAsia" w:ascii="宋体" w:hAnsi="宋体" w:cs="宋体"/>
          <w:color w:val="auto"/>
          <w:sz w:val="24"/>
          <w:lang w:eastAsia="zh-CN"/>
        </w:rPr>
        <w:t>，</w:t>
      </w:r>
      <w:r>
        <w:rPr>
          <w:rFonts w:hint="eastAsia" w:ascii="宋体" w:hAnsi="宋体" w:eastAsia="宋体" w:cs="宋体"/>
          <w:color w:val="auto"/>
          <w:sz w:val="24"/>
        </w:rPr>
        <w:t>并完成了内审和管理评审方可申请认证；</w:t>
      </w:r>
      <w:r>
        <w:rPr>
          <w:rFonts w:hint="eastAsia" w:ascii="宋体" w:hAnsi="宋体" w:eastAsia="宋体" w:cs="宋体"/>
          <w:color w:val="auto"/>
          <w:sz w:val="24"/>
          <w:lang w:val="en-US" w:eastAsia="zh-Hans"/>
        </w:rPr>
        <w:t>建工</w:t>
      </w:r>
      <w:r>
        <w:rPr>
          <w:rFonts w:hint="eastAsia" w:ascii="宋体" w:hAnsi="宋体" w:eastAsia="宋体" w:cs="宋体"/>
          <w:color w:val="auto"/>
          <w:sz w:val="24"/>
        </w:rPr>
        <w:t>体系</w:t>
      </w:r>
      <w:r>
        <w:rPr>
          <w:rFonts w:hint="eastAsia" w:ascii="宋体" w:hAnsi="宋体" w:cs="宋体"/>
          <w:color w:val="auto"/>
          <w:sz w:val="24"/>
          <w:lang w:val="en-US" w:eastAsia="zh-CN"/>
        </w:rPr>
        <w:t>和能源体系</w:t>
      </w:r>
      <w:r>
        <w:rPr>
          <w:rFonts w:hint="eastAsia" w:ascii="宋体" w:hAnsi="宋体" w:eastAsia="宋体" w:cs="宋体"/>
          <w:color w:val="auto"/>
          <w:sz w:val="24"/>
        </w:rPr>
        <w:t>正式运行六个月后</w:t>
      </w:r>
      <w:r>
        <w:rPr>
          <w:rFonts w:hint="eastAsia" w:ascii="宋体" w:hAnsi="宋体" w:cs="宋体"/>
          <w:color w:val="auto"/>
          <w:sz w:val="24"/>
          <w:lang w:eastAsia="zh-CN"/>
        </w:rPr>
        <w:t>，</w:t>
      </w:r>
      <w:r>
        <w:rPr>
          <w:rFonts w:hint="eastAsia" w:ascii="宋体" w:hAnsi="宋体" w:eastAsia="宋体" w:cs="宋体"/>
          <w:color w:val="auto"/>
          <w:sz w:val="24"/>
        </w:rPr>
        <w:t>并完成了内审和管理评审方可申请认证；</w:t>
      </w:r>
    </w:p>
    <w:p w14:paraId="63607CD8">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4.按乙方要求提供真实、完整、有效的相关管理体系文件及其他相关资料，以及便于沟通所需的联系人姓名、手机号码等信息；</w:t>
      </w:r>
    </w:p>
    <w:p w14:paraId="070275F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5.按合同的约定及时向乙方支付费用；</w:t>
      </w:r>
    </w:p>
    <w:p w14:paraId="126613C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6.为实施审核做出所有必要的安排</w:t>
      </w:r>
      <w:r>
        <w:rPr>
          <w:rFonts w:hint="eastAsia" w:ascii="宋体" w:hAnsi="宋体" w:cs="宋体"/>
          <w:color w:val="auto"/>
          <w:sz w:val="24"/>
          <w:lang w:eastAsia="zh-CN"/>
        </w:rPr>
        <w:t>，</w:t>
      </w:r>
      <w:r>
        <w:rPr>
          <w:rFonts w:hint="eastAsia" w:ascii="宋体" w:hAnsi="宋体" w:eastAsia="宋体" w:cs="宋体"/>
          <w:color w:val="auto"/>
          <w:sz w:val="24"/>
        </w:rPr>
        <w:t>包括检查文件；接触的所有过程、区域、记录及人员提供条件。适用时</w:t>
      </w:r>
      <w:r>
        <w:rPr>
          <w:rFonts w:hint="eastAsia" w:ascii="宋体" w:hAnsi="宋体" w:cs="宋体"/>
          <w:color w:val="auto"/>
          <w:sz w:val="24"/>
          <w:lang w:eastAsia="zh-CN"/>
        </w:rPr>
        <w:t>，</w:t>
      </w:r>
      <w:r>
        <w:rPr>
          <w:rFonts w:hint="eastAsia" w:ascii="宋体" w:hAnsi="宋体" w:eastAsia="宋体" w:cs="宋体"/>
          <w:color w:val="auto"/>
          <w:sz w:val="24"/>
        </w:rPr>
        <w:t>为接纳到场的观察员、认可评审员等提供条件；</w:t>
      </w:r>
    </w:p>
    <w:p w14:paraId="26DFE80D">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7.在调查投诉、事故</w:t>
      </w:r>
      <w:r>
        <w:rPr>
          <w:rFonts w:hint="eastAsia" w:ascii="宋体" w:hAnsi="宋体" w:cs="宋体"/>
          <w:color w:val="auto"/>
          <w:sz w:val="24"/>
          <w:lang w:val="en-US" w:eastAsia="zh-CN"/>
        </w:rPr>
        <w:t>/事件</w:t>
      </w:r>
      <w:r>
        <w:rPr>
          <w:rFonts w:hint="eastAsia" w:ascii="宋体" w:hAnsi="宋体" w:eastAsia="宋体" w:cs="宋体"/>
          <w:color w:val="auto"/>
          <w:sz w:val="24"/>
        </w:rPr>
        <w:t>、变更认证、对暂停认证进行追踪</w:t>
      </w:r>
      <w:r>
        <w:rPr>
          <w:rFonts w:hint="eastAsia" w:ascii="宋体" w:hAnsi="宋体" w:cs="宋体"/>
          <w:color w:val="auto"/>
          <w:sz w:val="24"/>
          <w:lang w:eastAsia="zh-CN"/>
        </w:rPr>
        <w:t>、</w:t>
      </w:r>
      <w:r>
        <w:rPr>
          <w:rFonts w:hint="eastAsia" w:ascii="宋体" w:hAnsi="宋体" w:cs="宋体"/>
          <w:color w:val="auto"/>
          <w:sz w:val="24"/>
          <w:lang w:val="en-US" w:eastAsia="zh-CN"/>
        </w:rPr>
        <w:t>国家抽检不合格</w:t>
      </w:r>
      <w:r>
        <w:rPr>
          <w:rFonts w:hint="eastAsia" w:ascii="宋体" w:hAnsi="宋体" w:eastAsia="宋体" w:cs="宋体"/>
          <w:color w:val="auto"/>
          <w:sz w:val="24"/>
        </w:rPr>
        <w:t>等特殊情况下应接受乙方开展的现场审核；</w:t>
      </w:r>
    </w:p>
    <w:p w14:paraId="58352130">
      <w:pPr>
        <w:spacing w:line="42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8.</w:t>
      </w:r>
      <w:r>
        <w:rPr>
          <w:rFonts w:hint="eastAsia" w:ascii="宋体" w:hAnsi="宋体" w:eastAsia="宋体" w:cs="宋体"/>
          <w:color w:val="auto"/>
          <w:sz w:val="24"/>
        </w:rPr>
        <w:t>在审核中发现的不符合项，甲方应在规定期限内完成原因分析、纠正和制定纠正措施并提交乙方以便及时完成有效性的验证，否则可能引起的认证注册的损失将由甲方自行承担</w:t>
      </w:r>
      <w:r>
        <w:rPr>
          <w:rFonts w:hint="eastAsia" w:ascii="宋体" w:hAnsi="宋体" w:cs="宋体"/>
          <w:color w:val="auto"/>
          <w:sz w:val="24"/>
          <w:lang w:eastAsia="zh-CN"/>
        </w:rPr>
        <w:t>；</w:t>
      </w:r>
    </w:p>
    <w:p w14:paraId="61418C02">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.协助认可机构、国家认证监管部门开展的见证审核、确认审核、监督检查等</w:t>
      </w:r>
      <w:r>
        <w:rPr>
          <w:rFonts w:hint="eastAsia" w:ascii="宋体" w:hAnsi="宋体" w:cs="宋体"/>
          <w:color w:val="auto"/>
          <w:sz w:val="24"/>
          <w:lang w:eastAsia="zh-CN"/>
        </w:rPr>
        <w:t>，</w:t>
      </w:r>
      <w:r>
        <w:rPr>
          <w:rFonts w:hint="eastAsia" w:ascii="宋体" w:hAnsi="宋体" w:eastAsia="宋体" w:cs="宋体"/>
          <w:color w:val="auto"/>
          <w:sz w:val="24"/>
        </w:rPr>
        <w:t>对有关事项的询问和调查如实提供相关材料和信息，并承担不配合、信息不准或不真实产生的一切后果；</w:t>
      </w:r>
    </w:p>
    <w:p w14:paraId="266B816C">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.向乙方提供真实、充分、完整、有效的信息和记录</w:t>
      </w:r>
      <w:r>
        <w:rPr>
          <w:rFonts w:hint="eastAsia" w:ascii="宋体" w:hAnsi="宋体" w:cs="宋体"/>
          <w:color w:val="auto"/>
          <w:sz w:val="24"/>
          <w:lang w:eastAsia="zh-CN"/>
        </w:rPr>
        <w:t>，</w:t>
      </w:r>
      <w:r>
        <w:rPr>
          <w:rFonts w:hint="eastAsia" w:ascii="宋体" w:hAnsi="宋体" w:cs="宋体"/>
          <w:color w:val="auto"/>
          <w:sz w:val="24"/>
          <w:lang w:val="en-US" w:eastAsia="zh-CN"/>
        </w:rPr>
        <w:t>不</w:t>
      </w:r>
      <w:r>
        <w:rPr>
          <w:rFonts w:hint="eastAsia" w:ascii="宋体" w:hAnsi="宋体" w:cs="宋体"/>
          <w:color w:val="auto"/>
          <w:sz w:val="24"/>
          <w:lang w:eastAsia="zh-CN"/>
        </w:rPr>
        <w:t>隐瞒真实信息</w:t>
      </w:r>
      <w:r>
        <w:rPr>
          <w:rFonts w:hint="eastAsia" w:ascii="宋体" w:hAnsi="宋体" w:eastAsia="宋体" w:cs="宋体"/>
          <w:color w:val="auto"/>
          <w:sz w:val="24"/>
        </w:rPr>
        <w:t>；</w:t>
      </w:r>
    </w:p>
    <w:p w14:paraId="3D06D2B0">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11．在广告、宣传等活动中使用认证证书、认证标志和有关信息，应符合乙方公开文件GK06-1《认证标志使用及认证证书管理规定》的要求:</w:t>
      </w:r>
    </w:p>
    <w:p w14:paraId="563041C8">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1）不做出有关于认证资格的误导性说明；</w:t>
      </w:r>
    </w:p>
    <w:p w14:paraId="094D523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2）不以误导性方式使用认证文件或其任何部分；</w:t>
      </w:r>
    </w:p>
    <w:p w14:paraId="76F1C65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3）若认证证书被乙方撤销或甲方自愿申请注销认证证书时，应将原证书及副本交回乙方，由乙方办理相关手续；</w:t>
      </w:r>
    </w:p>
    <w:p w14:paraId="6C8ECDF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4）在认证范围被缩小时，应当及时修改所有宣传材料匹配缩小后的认证范围；</w:t>
      </w:r>
    </w:p>
    <w:p w14:paraId="3AB868C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5）不允许在引用管理体系认证资格时，不擅自利用体系认证证书和相关文字、符号误导公众认为其产品或服务通过认证；</w:t>
      </w:r>
    </w:p>
    <w:p w14:paraId="37E003C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6）根据法律法规、行业或自身要求，提出可公开信息的限制性要求；</w:t>
      </w:r>
    </w:p>
    <w:p w14:paraId="1B9D916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7）在使用认证资格时，不得行使导致乙方和(或)认证制度声誉受损的行为，使乙方和（或）认证制度失去公众信任。</w:t>
      </w:r>
    </w:p>
    <w:p w14:paraId="1B2952C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12.在获证后维持体系持续有效运行。在证书有效期内</w:t>
      </w:r>
      <w:r>
        <w:rPr>
          <w:rFonts w:hint="eastAsia" w:ascii="宋体" w:hAnsi="宋体" w:cs="宋体"/>
          <w:color w:val="auto"/>
          <w:sz w:val="24"/>
          <w:lang w:eastAsia="zh-CN"/>
        </w:rPr>
        <w:t>，</w:t>
      </w:r>
      <w:r>
        <w:rPr>
          <w:rFonts w:hint="eastAsia" w:ascii="宋体" w:hAnsi="宋体" w:eastAsia="宋体" w:cs="宋体"/>
          <w:color w:val="auto"/>
          <w:sz w:val="24"/>
        </w:rPr>
        <w:t>接受并配合乙方实施监督审核。</w:t>
      </w:r>
      <w:r>
        <w:rPr>
          <w:rFonts w:hint="eastAsia" w:ascii="宋体" w:hAnsi="宋体" w:eastAsia="宋体" w:cs="宋体"/>
          <w:color w:val="auto"/>
          <w:sz w:val="24"/>
        </w:rPr>
        <w:t>初次认证及再认证后的第一次监督审核应在认证证书签发之日起12个月内进行。此后</w:t>
      </w:r>
      <w:r>
        <w:rPr>
          <w:rFonts w:hint="eastAsia" w:ascii="宋体" w:hAnsi="宋体" w:cs="宋体"/>
          <w:color w:val="auto"/>
          <w:sz w:val="24"/>
          <w:lang w:eastAsia="zh-CN"/>
        </w:rPr>
        <w:t>，</w:t>
      </w:r>
      <w:r>
        <w:rPr>
          <w:rFonts w:hint="eastAsia" w:ascii="宋体" w:hAnsi="宋体" w:eastAsia="宋体" w:cs="宋体"/>
          <w:color w:val="auto"/>
          <w:sz w:val="24"/>
        </w:rPr>
        <w:t>监督审核间隔不应超过12个月。</w:t>
      </w:r>
      <w:r>
        <w:rPr>
          <w:rFonts w:hint="eastAsia" w:ascii="宋体" w:hAnsi="宋体" w:eastAsia="宋体" w:cs="宋体"/>
          <w:color w:val="auto"/>
          <w:sz w:val="24"/>
        </w:rPr>
        <w:t>同时</w:t>
      </w:r>
      <w:r>
        <w:rPr>
          <w:rFonts w:hint="eastAsia" w:ascii="宋体" w:hAnsi="宋体" w:cs="宋体"/>
          <w:color w:val="auto"/>
          <w:sz w:val="24"/>
          <w:lang w:eastAsia="zh-CN"/>
        </w:rPr>
        <w:t>，</w:t>
      </w:r>
      <w:r>
        <w:rPr>
          <w:rFonts w:hint="eastAsia" w:ascii="宋体" w:hAnsi="宋体" w:eastAsia="宋体" w:cs="宋体"/>
          <w:color w:val="auto"/>
          <w:sz w:val="24"/>
        </w:rPr>
        <w:t>甲方应按本合同（或补充的）约定支付相应的监督审核费用；对HACCP体系等有特殊要求的认证领域</w:t>
      </w:r>
      <w:r>
        <w:rPr>
          <w:rFonts w:hint="eastAsia" w:ascii="宋体" w:hAnsi="宋体" w:cs="宋体"/>
          <w:color w:val="auto"/>
          <w:sz w:val="24"/>
          <w:lang w:eastAsia="zh-CN"/>
        </w:rPr>
        <w:t>，</w:t>
      </w:r>
      <w:r>
        <w:rPr>
          <w:rFonts w:hint="eastAsia" w:ascii="宋体" w:hAnsi="宋体" w:eastAsia="宋体" w:cs="宋体"/>
          <w:color w:val="auto"/>
          <w:sz w:val="24"/>
        </w:rPr>
        <w:t>甲方还应接受并配合乙方实施不通知审核</w:t>
      </w:r>
      <w:r>
        <w:rPr>
          <w:rFonts w:hint="eastAsia" w:ascii="宋体" w:hAnsi="宋体" w:cs="宋体"/>
          <w:color w:val="auto"/>
          <w:sz w:val="24"/>
          <w:lang w:eastAsia="zh-CN"/>
        </w:rPr>
        <w:t>，</w:t>
      </w:r>
      <w:r>
        <w:rPr>
          <w:rFonts w:hint="eastAsia" w:ascii="宋体" w:hAnsi="宋体" w:eastAsia="宋体" w:cs="宋体"/>
          <w:color w:val="auto"/>
          <w:sz w:val="24"/>
        </w:rPr>
        <w:t>不通知审核</w:t>
      </w:r>
      <w:r>
        <w:rPr>
          <w:rFonts w:hint="eastAsia" w:ascii="宋体" w:hAnsi="宋体" w:cs="宋体"/>
          <w:color w:val="auto"/>
          <w:sz w:val="24"/>
          <w:lang w:val="en-US" w:eastAsia="zh-CN"/>
        </w:rPr>
        <w:t>可</w:t>
      </w:r>
      <w:r>
        <w:rPr>
          <w:rFonts w:hint="eastAsia" w:ascii="宋体" w:hAnsi="宋体" w:eastAsia="宋体" w:cs="宋体"/>
          <w:color w:val="auto"/>
          <w:sz w:val="24"/>
        </w:rPr>
        <w:t>结合监督审核或再认证审核实施。</w:t>
      </w:r>
    </w:p>
    <w:p w14:paraId="30D4C4F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13．当发生可能影响管理体系持续满足认证标准要求的能力的事宜时，应按乙方《获证组织信息通报制度》的规定及时通报</w:t>
      </w:r>
      <w:r>
        <w:rPr>
          <w:rFonts w:hint="eastAsia" w:ascii="宋体" w:hAnsi="宋体" w:cs="宋体"/>
          <w:color w:val="auto"/>
          <w:sz w:val="24"/>
          <w:lang w:val="en-US" w:eastAsia="zh-CN"/>
        </w:rPr>
        <w:t>给</w:t>
      </w:r>
      <w:r>
        <w:rPr>
          <w:rFonts w:hint="eastAsia" w:ascii="宋体" w:hAnsi="宋体" w:eastAsia="宋体" w:cs="宋体"/>
          <w:color w:val="auto"/>
          <w:sz w:val="24"/>
        </w:rPr>
        <w:t>乙方，包括(但不限于)与下列方面有关的变更：</w:t>
      </w:r>
    </w:p>
    <w:p w14:paraId="17A1D34A">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1）客户及相关方有重大投诉；</w:t>
      </w:r>
    </w:p>
    <w:p w14:paraId="5805D043">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2）生产、销售的产品或提供的服务被质量或市场监管部门认定不合格；</w:t>
      </w:r>
    </w:p>
    <w:p w14:paraId="6A198F2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3）发生产品或服务的质量/环境/安全/</w:t>
      </w:r>
      <w:r>
        <w:rPr>
          <w:rFonts w:hint="eastAsia" w:ascii="宋体" w:hAnsi="宋体" w:cs="宋体"/>
          <w:color w:val="auto"/>
          <w:sz w:val="24"/>
          <w:lang w:val="en-US" w:eastAsia="zh-CN"/>
        </w:rPr>
        <w:t>能源</w:t>
      </w:r>
      <w:r>
        <w:rPr>
          <w:rFonts w:hint="eastAsia" w:ascii="宋体" w:hAnsi="宋体" w:cs="宋体"/>
          <w:color w:val="auto"/>
          <w:sz w:val="24"/>
          <w:lang w:val="en-US" w:eastAsia="zh-CN"/>
        </w:rPr>
        <w:t>/</w:t>
      </w:r>
      <w:r>
        <w:rPr>
          <w:rFonts w:hint="eastAsia" w:ascii="宋体" w:hAnsi="宋体" w:eastAsia="宋体" w:cs="宋体"/>
          <w:color w:val="auto"/>
          <w:sz w:val="24"/>
        </w:rPr>
        <w:t>食品安全/重大信息安全</w:t>
      </w:r>
      <w:r>
        <w:rPr>
          <w:rFonts w:hint="eastAsia" w:ascii="宋体" w:hAnsi="宋体" w:cs="宋体"/>
          <w:color w:val="auto"/>
          <w:sz w:val="24"/>
          <w:lang w:val="en-US" w:eastAsia="zh-CN"/>
        </w:rPr>
        <w:t>等</w:t>
      </w:r>
      <w:r>
        <w:rPr>
          <w:rFonts w:hint="eastAsia" w:ascii="宋体" w:hAnsi="宋体" w:eastAsia="宋体" w:cs="宋体"/>
          <w:color w:val="auto"/>
          <w:sz w:val="24"/>
        </w:rPr>
        <w:t>有关的重大</w:t>
      </w:r>
      <w:r>
        <w:rPr>
          <w:rFonts w:hint="eastAsia" w:ascii="宋体" w:hAnsi="宋体" w:eastAsia="宋体" w:cs="宋体"/>
          <w:color w:val="auto"/>
          <w:sz w:val="24"/>
        </w:rPr>
        <w:t>事故</w:t>
      </w:r>
      <w:r>
        <w:rPr>
          <w:rFonts w:hint="eastAsia" w:ascii="宋体" w:hAnsi="宋体" w:cs="宋体"/>
          <w:color w:val="auto"/>
          <w:sz w:val="24"/>
          <w:lang w:val="en-US" w:eastAsia="zh-CN"/>
        </w:rPr>
        <w:t>/事件</w:t>
      </w:r>
      <w:r>
        <w:rPr>
          <w:rFonts w:hint="eastAsia" w:ascii="宋体" w:hAnsi="宋体" w:eastAsia="宋体" w:cs="宋体"/>
          <w:color w:val="auto"/>
          <w:sz w:val="24"/>
        </w:rPr>
        <w:t>，以及发生导致监管机构介入的事件或违法情况（如受到行政处罚）；</w:t>
      </w:r>
    </w:p>
    <w:p w14:paraId="79F18AA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相关情况发生变更，包括：法律地位、生产经营状况、组织状态或所有权变更；取得的行政许可资格、强制性认证或其他资质证书变更；法定代表人、最高管理者（或管理者代表）变更；生产经营或服务的工作场所变更；管理体系覆盖的范围变更；管理体系和重要过程的重大变更等；</w:t>
      </w:r>
    </w:p>
    <w:p w14:paraId="3D3B85B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5）产品召回事件及处理情况；</w:t>
      </w:r>
    </w:p>
    <w:p w14:paraId="4B8461F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6）其他影响食品安全的事件；（适用于食品链上的行业）</w:t>
      </w:r>
    </w:p>
    <w:p w14:paraId="054297C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7）适用的法律法规要求的变更信息；</w:t>
      </w:r>
    </w:p>
    <w:p w14:paraId="1EFC6809">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8）在乙方要求时，向乙方提供所有甲方收到有关投诉的记录和依据体系标准或其他规范性文件的要求所采取的纠正措施的记录；</w:t>
      </w:r>
    </w:p>
    <w:p w14:paraId="5407604B">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9）</w:t>
      </w:r>
      <w:r>
        <w:rPr>
          <w:rFonts w:hint="eastAsia" w:ascii="宋体" w:hAnsi="宋体" w:eastAsia="宋体" w:cs="宋体"/>
          <w:color w:val="auto"/>
          <w:sz w:val="24"/>
        </w:rPr>
        <w:t>被行政监管部门责令停产停业整顿</w:t>
      </w:r>
      <w:r>
        <w:rPr>
          <w:rFonts w:hint="eastAsia" w:ascii="宋体" w:hAnsi="宋体" w:cs="宋体"/>
          <w:color w:val="auto"/>
          <w:sz w:val="24"/>
          <w:lang w:eastAsia="zh-CN"/>
        </w:rPr>
        <w:t>；</w:t>
      </w:r>
    </w:p>
    <w:p w14:paraId="2C079689">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9）出现影响管理体系运行的其他重要情况。</w:t>
      </w:r>
    </w:p>
    <w:p w14:paraId="71A7DD4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注：以上变更须在情况发生后的2个工作日内通报乙方，乙方视情况采取相应的措施 (包括调整对甲方认证监督周期、方式及有关内容、暂停或撤销认证证书等)。若甲方未在规定时限内通报乙方，则乙方有权先行暂停认证证书，并将保留采取其他措施或者追究相关法律责任的权利。</w:t>
      </w:r>
    </w:p>
    <w:p w14:paraId="7B9D3113">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当甲方认证证书状态发生变化时，乙方将通过甲方留存的手机号码以短信方式及时向甲方发放认证证书暂停/恢复/撤销/注销等认证证书状态的通知（简称《通知》），乙方通过前述方式发送通知后视为通知已经送达甲方；若未将认证证书状态变化信息及时通知甲方，将承担造成甲方误用认证证书及认证标志的后果。</w:t>
      </w:r>
    </w:p>
    <w:p w14:paraId="17682233">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甲方收到乙方通过手机短信发送的认证证书状态《通知》时，应及时关注乙方公众号“华中国际认证检验集团”（业务领域/企业附件下载）查看相应的通知书，并遵循乙方公开文件GK06-1《认证标志使用及认证证书管理规定》的要求，对认证证书及认证标志的使用作出正确的处理。若不及时处理相关事宜，且未与乙方就此事进行及时沟通，将承担误用认证证书及认证标志带来的后果。</w:t>
      </w:r>
    </w:p>
    <w:p w14:paraId="358BE75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提供给乙方用于接收认证证书状态《通知》的联系人姓名、手机号码等信息发生变化时，甲方应在2个工作日内以书面形式告知乙方。若不及时处理相关事宜，且未与乙方就此事进行及时沟通，将承担误用认证证书及认证标志带来的后果。</w:t>
      </w:r>
    </w:p>
    <w:p w14:paraId="4C110F5B">
      <w:pPr>
        <w:spacing w:line="42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17.承担因乙方资质被撤销而带来的认证活动终止、认证证书无法使用的风险。</w:t>
      </w:r>
    </w:p>
    <w:p w14:paraId="2D34A8F5">
      <w:pPr>
        <w:spacing w:line="42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Hans"/>
        </w:rPr>
        <w:t>四、</w:t>
      </w:r>
      <w:r>
        <w:rPr>
          <w:rFonts w:hint="eastAsia" w:ascii="宋体" w:hAnsi="宋体" w:eastAsia="宋体" w:cs="宋体"/>
          <w:b w:val="0"/>
          <w:bCs w:val="0"/>
          <w:color w:val="auto"/>
          <w:sz w:val="24"/>
        </w:rPr>
        <w:t>乙方责任和权利</w:t>
      </w:r>
    </w:p>
    <w:p w14:paraId="1C45403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eastAsia="zh-CN"/>
        </w:rPr>
        <w:t>.</w:t>
      </w:r>
      <w:r>
        <w:rPr>
          <w:rFonts w:hint="eastAsia" w:ascii="宋体" w:hAnsi="宋体" w:eastAsia="宋体" w:cs="宋体"/>
          <w:color w:val="auto"/>
          <w:sz w:val="24"/>
        </w:rPr>
        <w:t>严格遵守国家各种管理体系认证的法律法规</w:t>
      </w:r>
      <w:r>
        <w:rPr>
          <w:rFonts w:hint="eastAsia" w:ascii="宋体" w:hAnsi="宋体" w:cs="宋体"/>
          <w:color w:val="auto"/>
          <w:sz w:val="24"/>
          <w:lang w:eastAsia="zh-CN"/>
        </w:rPr>
        <w:t>，</w:t>
      </w:r>
      <w:r>
        <w:rPr>
          <w:rFonts w:hint="eastAsia" w:ascii="宋体" w:hAnsi="宋体" w:eastAsia="宋体" w:cs="宋体"/>
          <w:color w:val="auto"/>
          <w:sz w:val="24"/>
        </w:rPr>
        <w:t>客观、公正地为甲方提供认证服务；</w:t>
      </w:r>
    </w:p>
    <w:p w14:paraId="6CFB3188">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w:t>
      </w:r>
      <w:r>
        <w:rPr>
          <w:rFonts w:hint="eastAsia" w:ascii="宋体" w:hAnsi="宋体" w:eastAsia="宋体" w:cs="宋体"/>
          <w:color w:val="auto"/>
          <w:sz w:val="24"/>
        </w:rPr>
        <w:t>向甲方提供资格证明文件及有关公开性文件；</w:t>
      </w:r>
    </w:p>
    <w:p w14:paraId="0BEF9E1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w:t>
      </w:r>
      <w:r>
        <w:rPr>
          <w:rFonts w:hint="eastAsia" w:ascii="宋体" w:hAnsi="宋体" w:eastAsia="宋体" w:cs="宋体"/>
          <w:color w:val="auto"/>
          <w:sz w:val="24"/>
        </w:rPr>
        <w:t>在签订合同后委派有资格人员组成审核组实施审核；</w:t>
      </w:r>
    </w:p>
    <w:p w14:paraId="724ED192">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cs="宋体"/>
          <w:color w:val="auto"/>
          <w:sz w:val="24"/>
          <w:lang w:eastAsia="zh-CN"/>
        </w:rPr>
        <w:t>.</w:t>
      </w:r>
      <w:r>
        <w:rPr>
          <w:rFonts w:hint="eastAsia" w:ascii="宋体" w:hAnsi="宋体" w:eastAsia="宋体" w:cs="宋体"/>
          <w:color w:val="auto"/>
          <w:sz w:val="24"/>
        </w:rPr>
        <w:t>向甲方及时提交审核计划</w:t>
      </w:r>
      <w:r>
        <w:rPr>
          <w:rFonts w:hint="eastAsia" w:ascii="宋体" w:hAnsi="宋体" w:cs="宋体"/>
          <w:color w:val="auto"/>
          <w:sz w:val="24"/>
          <w:lang w:eastAsia="zh-CN"/>
        </w:rPr>
        <w:t>，</w:t>
      </w:r>
      <w:r>
        <w:rPr>
          <w:rFonts w:hint="eastAsia" w:ascii="宋体" w:hAnsi="宋体" w:eastAsia="宋体" w:cs="宋体"/>
          <w:color w:val="auto"/>
          <w:sz w:val="24"/>
        </w:rPr>
        <w:t>按双方约定时间实施审核并出具审核报告；</w:t>
      </w:r>
    </w:p>
    <w:p w14:paraId="43DBDDF1">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5</w:t>
      </w:r>
      <w:r>
        <w:rPr>
          <w:rFonts w:hint="eastAsia" w:ascii="宋体" w:hAnsi="宋体" w:cs="宋体"/>
          <w:color w:val="auto"/>
          <w:sz w:val="24"/>
          <w:lang w:eastAsia="zh-CN"/>
        </w:rPr>
        <w:t>.</w:t>
      </w:r>
      <w:r>
        <w:rPr>
          <w:rFonts w:hint="eastAsia" w:ascii="宋体" w:hAnsi="宋体" w:eastAsia="宋体" w:cs="宋体"/>
          <w:color w:val="auto"/>
          <w:sz w:val="24"/>
        </w:rPr>
        <w:t>遵守公正性与保密声明</w:t>
      </w:r>
      <w:r>
        <w:rPr>
          <w:rFonts w:hint="eastAsia" w:ascii="宋体" w:hAnsi="宋体" w:cs="宋体"/>
          <w:color w:val="auto"/>
          <w:sz w:val="24"/>
          <w:lang w:eastAsia="zh-CN"/>
        </w:rPr>
        <w:t>，</w:t>
      </w:r>
      <w:r>
        <w:rPr>
          <w:rFonts w:hint="eastAsia" w:ascii="宋体" w:hAnsi="宋体" w:eastAsia="宋体" w:cs="宋体"/>
          <w:color w:val="auto"/>
          <w:sz w:val="24"/>
        </w:rPr>
        <w:t>当向其他机构（如行政/司法机关、认可机构）公开保密信息时</w:t>
      </w:r>
      <w:r>
        <w:rPr>
          <w:rFonts w:hint="eastAsia" w:ascii="宋体" w:hAnsi="宋体" w:cs="宋体"/>
          <w:color w:val="auto"/>
          <w:sz w:val="24"/>
          <w:lang w:eastAsia="zh-CN"/>
        </w:rPr>
        <w:t>，</w:t>
      </w:r>
      <w:r>
        <w:rPr>
          <w:rFonts w:hint="eastAsia" w:ascii="宋体" w:hAnsi="宋体" w:eastAsia="宋体" w:cs="宋体"/>
          <w:color w:val="auto"/>
          <w:sz w:val="24"/>
        </w:rPr>
        <w:t>应通知甲方</w:t>
      </w:r>
      <w:r>
        <w:rPr>
          <w:rFonts w:hint="eastAsia" w:ascii="宋体" w:hAnsi="宋体" w:eastAsia="宋体" w:cs="宋体"/>
          <w:color w:val="auto"/>
          <w:sz w:val="24"/>
          <w:lang w:eastAsia="zh-CN"/>
        </w:rPr>
        <w:t>；</w:t>
      </w:r>
    </w:p>
    <w:p w14:paraId="49190D86">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cs="宋体"/>
          <w:color w:val="auto"/>
          <w:sz w:val="24"/>
          <w:lang w:eastAsia="zh-CN"/>
        </w:rPr>
        <w:t>.</w:t>
      </w:r>
      <w:r>
        <w:rPr>
          <w:rFonts w:hint="eastAsia" w:ascii="宋体" w:hAnsi="宋体" w:eastAsia="宋体" w:cs="宋体"/>
          <w:color w:val="auto"/>
          <w:sz w:val="24"/>
          <w:lang w:val="en-US" w:eastAsia="zh-Hans"/>
        </w:rPr>
        <w:t>在甲方完成不符合整改完成后</w:t>
      </w:r>
      <w:r>
        <w:rPr>
          <w:rFonts w:hint="eastAsia" w:ascii="宋体" w:hAnsi="宋体" w:eastAsia="宋体" w:cs="宋体"/>
          <w:color w:val="auto"/>
          <w:sz w:val="24"/>
        </w:rPr>
        <w:t>及时向甲方颁发认证证书；</w:t>
      </w:r>
    </w:p>
    <w:p w14:paraId="0DF826D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cs="宋体"/>
          <w:color w:val="auto"/>
          <w:sz w:val="24"/>
          <w:lang w:eastAsia="zh-CN"/>
        </w:rPr>
        <w:t>.</w:t>
      </w:r>
      <w:r>
        <w:rPr>
          <w:rFonts w:hint="eastAsia" w:ascii="宋体" w:hAnsi="宋体" w:eastAsia="宋体" w:cs="宋体"/>
          <w:color w:val="auto"/>
          <w:sz w:val="24"/>
        </w:rPr>
        <w:t>甲方获证后</w:t>
      </w:r>
      <w:r>
        <w:rPr>
          <w:rFonts w:hint="eastAsia" w:ascii="宋体" w:hAnsi="宋体" w:cs="宋体"/>
          <w:color w:val="auto"/>
          <w:sz w:val="24"/>
          <w:lang w:eastAsia="zh-CN"/>
        </w:rPr>
        <w:t>，</w:t>
      </w:r>
      <w:r>
        <w:rPr>
          <w:rFonts w:hint="eastAsia" w:ascii="宋体" w:hAnsi="宋体" w:eastAsia="宋体" w:cs="宋体"/>
          <w:color w:val="auto"/>
          <w:sz w:val="24"/>
        </w:rPr>
        <w:t>乙方应定期对甲方获证体系实施监督审核</w:t>
      </w:r>
      <w:r>
        <w:rPr>
          <w:rFonts w:hint="eastAsia" w:ascii="宋体" w:hAnsi="宋体" w:cs="宋体"/>
          <w:color w:val="auto"/>
          <w:sz w:val="24"/>
          <w:lang w:eastAsia="zh-CN"/>
        </w:rPr>
        <w:t>，</w:t>
      </w:r>
      <w:r>
        <w:rPr>
          <w:rFonts w:hint="eastAsia" w:ascii="宋体" w:hAnsi="宋体" w:eastAsia="宋体" w:cs="宋体"/>
          <w:color w:val="auto"/>
          <w:sz w:val="24"/>
        </w:rPr>
        <w:t>并根据双方对再认证的协议按期实施再认证换证审核；</w:t>
      </w:r>
    </w:p>
    <w:p w14:paraId="25689308">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w:t>
      </w:r>
      <w:r>
        <w:rPr>
          <w:rFonts w:hint="eastAsia" w:ascii="宋体" w:hAnsi="宋体" w:cs="宋体"/>
          <w:color w:val="auto"/>
          <w:sz w:val="24"/>
          <w:lang w:eastAsia="zh-CN"/>
        </w:rPr>
        <w:t>.</w:t>
      </w:r>
      <w:r>
        <w:rPr>
          <w:rFonts w:hint="eastAsia" w:ascii="宋体" w:hAnsi="宋体" w:eastAsia="宋体" w:cs="宋体"/>
          <w:color w:val="auto"/>
          <w:sz w:val="24"/>
        </w:rPr>
        <w:t>当认证要求发生变更时应及时通知甲方</w:t>
      </w:r>
      <w:r>
        <w:rPr>
          <w:rFonts w:hint="eastAsia" w:ascii="宋体" w:hAnsi="宋体" w:cs="宋体"/>
          <w:color w:val="auto"/>
          <w:sz w:val="24"/>
          <w:lang w:eastAsia="zh-CN"/>
        </w:rPr>
        <w:t>，</w:t>
      </w:r>
      <w:r>
        <w:rPr>
          <w:rFonts w:hint="eastAsia" w:ascii="宋体" w:hAnsi="宋体" w:eastAsia="宋体" w:cs="宋体"/>
          <w:color w:val="auto"/>
          <w:sz w:val="24"/>
        </w:rPr>
        <w:t>并验证甲方是否符合新的要求；</w:t>
      </w:r>
    </w:p>
    <w:p w14:paraId="4C59E4B9">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cs="宋体"/>
          <w:color w:val="auto"/>
          <w:sz w:val="24"/>
          <w:lang w:eastAsia="zh-CN"/>
        </w:rPr>
        <w:t>.</w:t>
      </w:r>
      <w:r>
        <w:rPr>
          <w:rFonts w:hint="eastAsia" w:ascii="宋体" w:hAnsi="宋体" w:eastAsia="宋体" w:cs="宋体"/>
          <w:color w:val="auto"/>
          <w:sz w:val="24"/>
        </w:rPr>
        <w:t>在法律法规许可的情况下满足甲方关于可公开信息的特殊要求。</w:t>
      </w:r>
    </w:p>
    <w:p w14:paraId="4E1B47C7">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10.乙方应及时告知甲方其</w:t>
      </w:r>
      <w:r>
        <w:rPr>
          <w:rFonts w:hint="eastAsia" w:ascii="宋体" w:hAnsi="宋体" w:eastAsia="宋体" w:cs="宋体"/>
          <w:color w:val="auto"/>
          <w:sz w:val="24"/>
        </w:rPr>
        <w:t>批准资质注销或被撤销</w:t>
      </w:r>
      <w:r>
        <w:rPr>
          <w:rFonts w:hint="eastAsia" w:ascii="宋体" w:hAnsi="宋体" w:cs="宋体"/>
          <w:color w:val="auto"/>
          <w:sz w:val="24"/>
          <w:lang w:val="en-US" w:eastAsia="zh-CN"/>
        </w:rPr>
        <w:t>的信息。因此导致甲方</w:t>
      </w:r>
      <w:r>
        <w:rPr>
          <w:rFonts w:hint="eastAsia" w:ascii="宋体" w:hAnsi="宋体" w:eastAsia="宋体" w:cs="宋体"/>
          <w:color w:val="auto"/>
          <w:sz w:val="24"/>
        </w:rPr>
        <w:t>认证证书无法有效保持的</w:t>
      </w:r>
      <w:r>
        <w:rPr>
          <w:rFonts w:hint="eastAsia" w:ascii="宋体" w:hAnsi="宋体" w:cs="宋体"/>
          <w:color w:val="auto"/>
          <w:sz w:val="24"/>
          <w:lang w:eastAsia="zh-CN"/>
        </w:rPr>
        <w:t>，</w:t>
      </w:r>
      <w:r>
        <w:rPr>
          <w:rFonts w:hint="eastAsia" w:ascii="宋体" w:hAnsi="宋体" w:cs="宋体"/>
          <w:color w:val="auto"/>
          <w:sz w:val="24"/>
          <w:lang w:val="en-US" w:eastAsia="zh-CN"/>
        </w:rPr>
        <w:t>乙方将退还批准资质注销或撤销当年收取的认证费，退还的费用不含审核组审核产生的食宿差旅费用</w:t>
      </w:r>
      <w:r>
        <w:rPr>
          <w:rFonts w:hint="eastAsia" w:ascii="宋体" w:hAnsi="宋体" w:eastAsia="宋体" w:cs="宋体"/>
          <w:color w:val="auto"/>
          <w:sz w:val="24"/>
        </w:rPr>
        <w:t>。</w:t>
      </w:r>
    </w:p>
    <w:p w14:paraId="7778A83C">
      <w:pPr>
        <w:spacing w:line="42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11.因主管部门规定不再开展认证业务的，已经产生的认证费用不予退还，包括但不限于全国范围内取消该项认证业务范围，全国范围内退回认证规则的备案。</w:t>
      </w:r>
    </w:p>
    <w:p w14:paraId="472B5AA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五、</w:t>
      </w:r>
      <w:r>
        <w:rPr>
          <w:rFonts w:hint="eastAsia" w:ascii="宋体" w:hAnsi="宋体" w:eastAsia="宋体" w:cs="宋体"/>
          <w:color w:val="auto"/>
          <w:sz w:val="24"/>
        </w:rPr>
        <w:t>如在审核进程中发现足以导致不推荐注册的严重不符合时</w:t>
      </w:r>
      <w:r>
        <w:rPr>
          <w:rFonts w:hint="eastAsia" w:ascii="宋体" w:hAnsi="宋体" w:cs="宋体"/>
          <w:color w:val="auto"/>
          <w:sz w:val="24"/>
          <w:lang w:eastAsia="zh-CN"/>
        </w:rPr>
        <w:t>，</w:t>
      </w:r>
      <w:r>
        <w:rPr>
          <w:rFonts w:hint="eastAsia" w:ascii="宋体" w:hAnsi="宋体" w:eastAsia="宋体" w:cs="宋体"/>
          <w:color w:val="auto"/>
          <w:sz w:val="24"/>
        </w:rPr>
        <w:t>乙方应向甲方通报理由,由双方协商确定后续的处理措施（如重新修改审核计划</w:t>
      </w:r>
      <w:r>
        <w:rPr>
          <w:rFonts w:hint="eastAsia" w:ascii="宋体" w:hAnsi="宋体" w:cs="宋体"/>
          <w:color w:val="auto"/>
          <w:sz w:val="24"/>
          <w:lang w:eastAsia="zh-CN"/>
        </w:rPr>
        <w:t>，</w:t>
      </w:r>
      <w:r>
        <w:rPr>
          <w:rFonts w:hint="eastAsia" w:ascii="宋体" w:hAnsi="宋体" w:eastAsia="宋体" w:cs="宋体"/>
          <w:color w:val="auto"/>
          <w:sz w:val="24"/>
        </w:rPr>
        <w:t>改变审核目的、审核范围或终止审核等）</w:t>
      </w:r>
      <w:r>
        <w:rPr>
          <w:rFonts w:hint="eastAsia" w:ascii="宋体" w:hAnsi="宋体" w:cs="宋体"/>
          <w:color w:val="auto"/>
          <w:sz w:val="24"/>
          <w:lang w:eastAsia="zh-CN"/>
        </w:rPr>
        <w:t>，</w:t>
      </w:r>
      <w:r>
        <w:rPr>
          <w:rFonts w:hint="eastAsia" w:ascii="宋体" w:hAnsi="宋体" w:eastAsia="宋体" w:cs="宋体"/>
          <w:color w:val="auto"/>
          <w:sz w:val="24"/>
        </w:rPr>
        <w:t>确定相关费用并由甲方承担。</w:t>
      </w:r>
    </w:p>
    <w:p w14:paraId="7E8D2B3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六、</w:t>
      </w:r>
      <w:r>
        <w:rPr>
          <w:rFonts w:hint="eastAsia" w:ascii="宋体" w:hAnsi="宋体" w:eastAsia="宋体" w:cs="宋体"/>
          <w:color w:val="auto"/>
          <w:sz w:val="24"/>
        </w:rPr>
        <w:t>如甲方在现场审核结束后6个月内未能配合乙方对其严重不符合的纠正和纠正措施实施验证</w:t>
      </w:r>
      <w:r>
        <w:rPr>
          <w:rFonts w:hint="eastAsia" w:ascii="宋体" w:hAnsi="宋体" w:cs="宋体"/>
          <w:color w:val="auto"/>
          <w:sz w:val="24"/>
          <w:lang w:eastAsia="zh-CN"/>
        </w:rPr>
        <w:t>，</w:t>
      </w:r>
      <w:r>
        <w:rPr>
          <w:rFonts w:hint="eastAsia" w:ascii="宋体" w:hAnsi="宋体" w:eastAsia="宋体" w:cs="宋体"/>
          <w:color w:val="auto"/>
          <w:sz w:val="24"/>
        </w:rPr>
        <w:t>则乙方需再实施一次第二阶段审核所发生的费用由甲方承担。</w:t>
      </w:r>
    </w:p>
    <w:p w14:paraId="217C8108">
      <w:pPr>
        <w:spacing w:line="420" w:lineRule="exact"/>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Hans"/>
        </w:rPr>
        <w:t>七、</w:t>
      </w:r>
      <w:r>
        <w:rPr>
          <w:rFonts w:hint="eastAsia" w:ascii="宋体" w:hAnsi="宋体" w:cs="宋体"/>
          <w:color w:val="auto"/>
          <w:sz w:val="24"/>
          <w:lang w:val="en-US" w:eastAsia="zh-CN"/>
        </w:rPr>
        <w:t>由</w:t>
      </w:r>
      <w:r>
        <w:rPr>
          <w:rFonts w:hint="eastAsia" w:ascii="宋体" w:hAnsi="宋体" w:eastAsia="宋体" w:cs="宋体"/>
          <w:color w:val="auto"/>
          <w:sz w:val="24"/>
        </w:rPr>
        <w:t>甲方</w:t>
      </w:r>
      <w:r>
        <w:rPr>
          <w:rFonts w:hint="eastAsia" w:ascii="宋体" w:hAnsi="宋体" w:cs="宋体"/>
          <w:color w:val="auto"/>
          <w:sz w:val="24"/>
          <w:lang w:val="en-US" w:eastAsia="zh-CN"/>
        </w:rPr>
        <w:t>原因造成的</w:t>
      </w:r>
      <w:r>
        <w:rPr>
          <w:rFonts w:hint="eastAsia" w:ascii="宋体" w:hAnsi="宋体" w:eastAsia="宋体" w:cs="宋体"/>
          <w:color w:val="auto"/>
          <w:sz w:val="24"/>
        </w:rPr>
        <w:t>终止审核</w:t>
      </w:r>
      <w:r>
        <w:rPr>
          <w:rFonts w:hint="eastAsia" w:ascii="宋体" w:hAnsi="宋体" w:cs="宋体"/>
          <w:color w:val="auto"/>
          <w:sz w:val="24"/>
          <w:lang w:eastAsia="zh-CN"/>
        </w:rPr>
        <w:t>，</w:t>
      </w:r>
      <w:r>
        <w:rPr>
          <w:rFonts w:hint="eastAsia" w:ascii="宋体" w:hAnsi="宋体" w:eastAsia="宋体" w:cs="宋体"/>
          <w:color w:val="auto"/>
          <w:sz w:val="24"/>
        </w:rPr>
        <w:t>甲方应支付</w:t>
      </w:r>
      <w:r>
        <w:rPr>
          <w:rFonts w:hint="eastAsia" w:ascii="宋体" w:hAnsi="宋体" w:cs="宋体"/>
          <w:color w:val="auto"/>
          <w:sz w:val="24"/>
          <w:lang w:val="en-US" w:eastAsia="zh-CN"/>
        </w:rPr>
        <w:t>由此产生的所有</w:t>
      </w:r>
      <w:r>
        <w:rPr>
          <w:rFonts w:hint="eastAsia" w:ascii="宋体" w:hAnsi="宋体" w:eastAsia="宋体" w:cs="宋体"/>
          <w:color w:val="auto"/>
          <w:sz w:val="24"/>
        </w:rPr>
        <w:t>费用。</w:t>
      </w:r>
      <w:r>
        <w:rPr>
          <w:rFonts w:hint="eastAsia" w:ascii="宋体" w:hAnsi="宋体" w:cs="宋体"/>
          <w:color w:val="auto"/>
          <w:sz w:val="24"/>
          <w:lang w:val="en-US" w:eastAsia="zh-CN"/>
        </w:rPr>
        <w:t>包括但不限于以下原因：</w:t>
      </w:r>
    </w:p>
    <w:p w14:paraId="2CC534AE">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1.甲方对乙方安排的审核活动不予配合，导致审核活动无法进行，包括由于甲方的原因导致审核组无法按计划开展审核活动，或无法获取有效审核证据；</w:t>
      </w:r>
    </w:p>
    <w:p w14:paraId="55AB1851">
      <w:pPr>
        <w:spacing w:line="42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2.甲方的最高管理者或经授权的高级管理层成员缺席首、末次会议；甲方最高管理者不接受审核组的面谈；</w:t>
      </w:r>
    </w:p>
    <w:p w14:paraId="7604DD19">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甲方实际情况与申请材料有重大不一致，包括甲方的组织机构、场所、活动、认证范围内人员数量、产品和服务类型、管理体系运行时间等与申请材料不一致，对审核方案有重大影响，导致审核组无法按原来的策划开展审核活动的情况；</w:t>
      </w:r>
    </w:p>
    <w:p w14:paraId="10333A00">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4.一年内认证委托人发生重大生产安全事故，或审核实施中认证委托人发生人员死亡事故；（职业健康安全管理体系适用）；</w:t>
      </w:r>
    </w:p>
    <w:p w14:paraId="7DF11B86">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w:t>
      </w:r>
      <w:r>
        <w:rPr>
          <w:rFonts w:hint="eastAsia" w:ascii="宋体" w:hAnsi="宋体" w:cs="宋体"/>
          <w:color w:val="auto"/>
          <w:sz w:val="24"/>
          <w:lang w:val="en-US" w:eastAsia="zh-CN"/>
        </w:rPr>
        <w:t>其他导致审核程序无法完成的情况。</w:t>
      </w:r>
    </w:p>
    <w:p w14:paraId="0BE10D7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八、</w:t>
      </w:r>
      <w:r>
        <w:rPr>
          <w:rFonts w:hint="eastAsia" w:ascii="宋体" w:hAnsi="宋体" w:eastAsia="宋体" w:cs="宋体"/>
          <w:color w:val="auto"/>
          <w:sz w:val="24"/>
        </w:rPr>
        <w:t>乙方对甲方的管理体系审核合格并对相关不符合的纠正措施的有效性跟踪验证后</w:t>
      </w:r>
      <w:r>
        <w:rPr>
          <w:rFonts w:hint="eastAsia" w:ascii="宋体" w:hAnsi="宋体" w:cs="宋体"/>
          <w:color w:val="auto"/>
          <w:sz w:val="24"/>
          <w:lang w:eastAsia="zh-CN"/>
        </w:rPr>
        <w:t>，</w:t>
      </w:r>
      <w:r>
        <w:rPr>
          <w:rFonts w:hint="eastAsia" w:ascii="宋体" w:hAnsi="宋体" w:cs="宋体"/>
          <w:color w:val="auto"/>
          <w:sz w:val="24"/>
          <w:lang w:val="en-US" w:eastAsia="zh-CN"/>
        </w:rPr>
        <w:t>应及时</w:t>
      </w:r>
      <w:r>
        <w:rPr>
          <w:rFonts w:hint="eastAsia" w:ascii="宋体" w:hAnsi="宋体" w:eastAsia="宋体" w:cs="宋体"/>
          <w:color w:val="auto"/>
          <w:sz w:val="24"/>
        </w:rPr>
        <w:t>推荐认证注册</w:t>
      </w:r>
      <w:r>
        <w:rPr>
          <w:rFonts w:hint="eastAsia" w:ascii="宋体" w:hAnsi="宋体" w:cs="宋体"/>
          <w:color w:val="auto"/>
          <w:sz w:val="24"/>
          <w:lang w:eastAsia="zh-CN"/>
        </w:rPr>
        <w:t>，</w:t>
      </w:r>
      <w:r>
        <w:rPr>
          <w:rFonts w:hint="eastAsia" w:ascii="宋体" w:hAnsi="宋体" w:eastAsia="宋体" w:cs="宋体"/>
          <w:color w:val="auto"/>
          <w:sz w:val="24"/>
        </w:rPr>
        <w:t>经评定合格并批准后向甲方颁发体系认证证书</w:t>
      </w:r>
      <w:r>
        <w:rPr>
          <w:rFonts w:hint="eastAsia" w:ascii="宋体" w:hAnsi="宋体" w:cs="宋体"/>
          <w:color w:val="auto"/>
          <w:sz w:val="24"/>
          <w:lang w:eastAsia="zh-CN"/>
        </w:rPr>
        <w:t>，</w:t>
      </w:r>
      <w:r>
        <w:rPr>
          <w:rFonts w:hint="eastAsia" w:ascii="宋体" w:hAnsi="宋体" w:eastAsia="宋体" w:cs="宋体"/>
          <w:color w:val="auto"/>
          <w:sz w:val="24"/>
        </w:rPr>
        <w:t>乙方将在相应媒体上提供甲方认证信息的公开查询途径。同时</w:t>
      </w:r>
      <w:r>
        <w:rPr>
          <w:rFonts w:hint="eastAsia" w:ascii="宋体" w:hAnsi="宋体" w:cs="宋体"/>
          <w:color w:val="auto"/>
          <w:sz w:val="24"/>
          <w:lang w:eastAsia="zh-CN"/>
        </w:rPr>
        <w:t>，</w:t>
      </w:r>
      <w:r>
        <w:rPr>
          <w:rFonts w:hint="eastAsia" w:ascii="宋体" w:hAnsi="宋体" w:eastAsia="宋体" w:cs="宋体"/>
          <w:color w:val="auto"/>
          <w:sz w:val="24"/>
        </w:rPr>
        <w:t>按照相关规定的要求将认证结果相关信息报送国家认监委。</w:t>
      </w:r>
    </w:p>
    <w:p w14:paraId="088E0DE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九、</w:t>
      </w:r>
      <w:r>
        <w:rPr>
          <w:rFonts w:hint="eastAsia" w:ascii="宋体" w:hAnsi="宋体" w:eastAsia="宋体" w:cs="宋体"/>
          <w:color w:val="auto"/>
          <w:sz w:val="24"/>
        </w:rPr>
        <w:t>甲方如对审核过程、审核行为或审核结论有异议</w:t>
      </w:r>
      <w:r>
        <w:rPr>
          <w:rFonts w:hint="eastAsia" w:ascii="宋体" w:hAnsi="宋体" w:cs="宋体"/>
          <w:color w:val="auto"/>
          <w:sz w:val="24"/>
          <w:lang w:eastAsia="zh-CN"/>
        </w:rPr>
        <w:t>，</w:t>
      </w:r>
      <w:r>
        <w:rPr>
          <w:rFonts w:hint="eastAsia" w:ascii="宋体" w:hAnsi="宋体" w:eastAsia="宋体" w:cs="宋体"/>
          <w:color w:val="auto"/>
          <w:sz w:val="24"/>
        </w:rPr>
        <w:t>可与审核组长协商解决。如不能达成一致意见</w:t>
      </w:r>
      <w:r>
        <w:rPr>
          <w:rFonts w:hint="eastAsia" w:ascii="宋体" w:hAnsi="宋体" w:cs="宋体"/>
          <w:color w:val="auto"/>
          <w:sz w:val="24"/>
          <w:lang w:eastAsia="zh-CN"/>
        </w:rPr>
        <w:t>，</w:t>
      </w:r>
      <w:r>
        <w:rPr>
          <w:rFonts w:hint="eastAsia" w:ascii="宋体" w:hAnsi="宋体" w:eastAsia="宋体" w:cs="宋体"/>
          <w:color w:val="auto"/>
          <w:sz w:val="24"/>
        </w:rPr>
        <w:t>甲方可于现场审核结束后30天内向乙方提出书面投诉或申诉。如对上述机构的决定仍有异议</w:t>
      </w:r>
      <w:r>
        <w:rPr>
          <w:rFonts w:hint="eastAsia" w:ascii="宋体" w:hAnsi="宋体" w:cs="宋体"/>
          <w:color w:val="auto"/>
          <w:sz w:val="24"/>
          <w:lang w:eastAsia="zh-CN"/>
        </w:rPr>
        <w:t>，</w:t>
      </w:r>
      <w:r>
        <w:rPr>
          <w:rFonts w:hint="eastAsia" w:ascii="宋体" w:hAnsi="宋体" w:eastAsia="宋体" w:cs="宋体"/>
          <w:color w:val="auto"/>
          <w:sz w:val="24"/>
        </w:rPr>
        <w:t>可进一步向认可机构提出复议。</w:t>
      </w:r>
    </w:p>
    <w:p w14:paraId="028F152E">
      <w:pPr>
        <w:spacing w:line="42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十、甲方因隐瞒真实信息导致认证结果严重失实的，乙方有权撤销甲方认证证书。监管部门因此对乙方进行处罚或通报负面信息的，甲方应承担由此产生的经济和名誉损失。</w:t>
      </w:r>
    </w:p>
    <w:p w14:paraId="69D5AFF0">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十</w:t>
      </w:r>
      <w:r>
        <w:rPr>
          <w:rFonts w:hint="eastAsia" w:ascii="宋体" w:hAnsi="宋体" w:cs="宋体"/>
          <w:color w:val="auto"/>
          <w:sz w:val="24"/>
          <w:lang w:val="en-US" w:eastAsia="zh-CN"/>
        </w:rPr>
        <w:t>一</w:t>
      </w:r>
      <w:r>
        <w:rPr>
          <w:rFonts w:hint="eastAsia" w:ascii="宋体" w:hAnsi="宋体" w:eastAsia="宋体" w:cs="宋体"/>
          <w:color w:val="auto"/>
          <w:sz w:val="24"/>
          <w:lang w:val="en-US" w:eastAsia="zh-Hans"/>
        </w:rPr>
        <w:t>、</w:t>
      </w:r>
      <w:r>
        <w:rPr>
          <w:rFonts w:hint="eastAsia" w:ascii="宋体" w:hAnsi="宋体" w:eastAsia="宋体" w:cs="宋体"/>
          <w:color w:val="auto"/>
          <w:sz w:val="24"/>
        </w:rPr>
        <w:t>当甲方提出变更证书内容时</w:t>
      </w:r>
      <w:r>
        <w:rPr>
          <w:rFonts w:hint="eastAsia" w:ascii="宋体" w:hAnsi="宋体" w:cs="宋体"/>
          <w:color w:val="auto"/>
          <w:sz w:val="24"/>
          <w:lang w:eastAsia="zh-CN"/>
        </w:rPr>
        <w:t>，</w:t>
      </w:r>
      <w:r>
        <w:rPr>
          <w:rFonts w:hint="eastAsia" w:ascii="宋体" w:hAnsi="宋体" w:eastAsia="宋体" w:cs="宋体"/>
          <w:color w:val="auto"/>
          <w:sz w:val="24"/>
        </w:rPr>
        <w:t>乙方将于接到变更申请的一个月内通知甲方应采取的必要措施</w:t>
      </w:r>
      <w:r>
        <w:rPr>
          <w:rFonts w:hint="eastAsia" w:ascii="宋体" w:hAnsi="宋体" w:cs="宋体"/>
          <w:color w:val="auto"/>
          <w:sz w:val="24"/>
          <w:lang w:eastAsia="zh-CN"/>
        </w:rPr>
        <w:t>，</w:t>
      </w:r>
      <w:r>
        <w:rPr>
          <w:rFonts w:hint="eastAsia" w:ascii="宋体" w:hAnsi="宋体" w:eastAsia="宋体" w:cs="宋体"/>
          <w:color w:val="auto"/>
          <w:sz w:val="24"/>
        </w:rPr>
        <w:t>并对甲方进行换证审核。同时</w:t>
      </w:r>
      <w:r>
        <w:rPr>
          <w:rFonts w:hint="eastAsia" w:ascii="宋体" w:hAnsi="宋体" w:cs="宋体"/>
          <w:color w:val="auto"/>
          <w:sz w:val="24"/>
          <w:lang w:eastAsia="zh-CN"/>
        </w:rPr>
        <w:t>，</w:t>
      </w:r>
      <w:r>
        <w:rPr>
          <w:rFonts w:hint="eastAsia" w:ascii="宋体" w:hAnsi="宋体" w:eastAsia="宋体" w:cs="宋体"/>
          <w:color w:val="auto"/>
          <w:sz w:val="24"/>
        </w:rPr>
        <w:t>根据证书变更情况</w:t>
      </w:r>
      <w:r>
        <w:rPr>
          <w:rFonts w:hint="eastAsia" w:ascii="宋体" w:hAnsi="宋体" w:cs="宋体"/>
          <w:color w:val="auto"/>
          <w:sz w:val="24"/>
          <w:lang w:eastAsia="zh-CN"/>
        </w:rPr>
        <w:t>，</w:t>
      </w:r>
      <w:r>
        <w:rPr>
          <w:rFonts w:hint="eastAsia" w:ascii="宋体" w:hAnsi="宋体" w:eastAsia="宋体" w:cs="宋体"/>
          <w:color w:val="auto"/>
          <w:sz w:val="24"/>
        </w:rPr>
        <w:t>双方可协商另行签订相关协议。</w:t>
      </w:r>
    </w:p>
    <w:p w14:paraId="13718B8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十</w:t>
      </w:r>
      <w:r>
        <w:rPr>
          <w:rFonts w:hint="eastAsia" w:ascii="宋体" w:hAnsi="宋体" w:cs="宋体"/>
          <w:color w:val="auto"/>
          <w:sz w:val="24"/>
          <w:lang w:val="en-US" w:eastAsia="zh-CN"/>
        </w:rPr>
        <w:t>二</w:t>
      </w:r>
      <w:r>
        <w:rPr>
          <w:rFonts w:hint="eastAsia" w:ascii="宋体" w:hAnsi="宋体" w:eastAsia="宋体" w:cs="宋体"/>
          <w:color w:val="auto"/>
          <w:sz w:val="24"/>
          <w:lang w:val="en-US" w:eastAsia="zh-Hans"/>
        </w:rPr>
        <w:t>、</w:t>
      </w:r>
      <w:r>
        <w:rPr>
          <w:rFonts w:hint="eastAsia" w:ascii="宋体" w:hAnsi="宋体" w:eastAsia="宋体" w:cs="宋体"/>
          <w:color w:val="auto"/>
          <w:sz w:val="24"/>
        </w:rPr>
        <w:t>如果甲方在认证证书有效期内发生下列情况之一者</w:t>
      </w:r>
      <w:r>
        <w:rPr>
          <w:rFonts w:hint="eastAsia" w:ascii="宋体" w:hAnsi="宋体" w:cs="宋体"/>
          <w:color w:val="auto"/>
          <w:sz w:val="24"/>
          <w:lang w:eastAsia="zh-CN"/>
        </w:rPr>
        <w:t>，</w:t>
      </w:r>
      <w:r>
        <w:rPr>
          <w:rFonts w:hint="eastAsia" w:ascii="宋体" w:hAnsi="宋体" w:eastAsia="宋体" w:cs="宋体"/>
          <w:color w:val="auto"/>
          <w:sz w:val="24"/>
        </w:rPr>
        <w:t>乙方将按规定暂停认证证书的使用</w:t>
      </w:r>
      <w:r>
        <w:rPr>
          <w:rFonts w:hint="eastAsia" w:ascii="宋体" w:hAnsi="宋体" w:cs="宋体"/>
          <w:color w:val="auto"/>
          <w:sz w:val="24"/>
          <w:lang w:eastAsia="zh-CN"/>
        </w:rPr>
        <w:t>，</w:t>
      </w:r>
      <w:r>
        <w:rPr>
          <w:rFonts w:hint="eastAsia" w:ascii="宋体" w:hAnsi="宋体" w:eastAsia="宋体" w:cs="宋体"/>
          <w:color w:val="auto"/>
          <w:sz w:val="24"/>
        </w:rPr>
        <w:t>并要求其限期（最长期限为不超过6个月）纠正</w:t>
      </w:r>
      <w:r>
        <w:rPr>
          <w:rFonts w:hint="eastAsia" w:ascii="宋体" w:hAnsi="宋体" w:cs="宋体"/>
          <w:color w:val="auto"/>
          <w:sz w:val="24"/>
          <w:lang w:eastAsia="zh-CN"/>
        </w:rPr>
        <w:t>，</w:t>
      </w:r>
      <w:r>
        <w:rPr>
          <w:rFonts w:hint="eastAsia" w:ascii="宋体" w:hAnsi="宋体" w:eastAsia="宋体" w:cs="宋体"/>
          <w:color w:val="auto"/>
          <w:sz w:val="24"/>
        </w:rPr>
        <w:t>纠正经验证有效后乙方将通知甲方允许继续使用认证证书。同时</w:t>
      </w:r>
      <w:r>
        <w:rPr>
          <w:rFonts w:hint="eastAsia" w:ascii="宋体" w:hAnsi="宋体" w:cs="宋体"/>
          <w:color w:val="auto"/>
          <w:sz w:val="24"/>
          <w:lang w:eastAsia="zh-CN"/>
        </w:rPr>
        <w:t>，</w:t>
      </w:r>
      <w:r>
        <w:rPr>
          <w:rFonts w:hint="eastAsia" w:ascii="宋体" w:hAnsi="宋体" w:eastAsia="宋体" w:cs="宋体"/>
          <w:color w:val="auto"/>
          <w:sz w:val="24"/>
        </w:rPr>
        <w:t>甲方在证书暂停期内</w:t>
      </w:r>
      <w:r>
        <w:rPr>
          <w:rFonts w:hint="eastAsia" w:ascii="宋体" w:hAnsi="宋体" w:cs="宋体"/>
          <w:color w:val="auto"/>
          <w:sz w:val="24"/>
          <w:lang w:eastAsia="zh-CN"/>
        </w:rPr>
        <w:t>，</w:t>
      </w:r>
      <w:r>
        <w:rPr>
          <w:rFonts w:hint="eastAsia" w:ascii="宋体" w:hAnsi="宋体" w:eastAsia="宋体" w:cs="宋体"/>
          <w:color w:val="auto"/>
          <w:sz w:val="24"/>
        </w:rPr>
        <w:t>应停止相关认证资质的宣传及证书和标志的使用：</w:t>
      </w:r>
    </w:p>
    <w:p w14:paraId="0F29841E">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管理体系持续地或严重地不满足认证要求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包括</w:t>
      </w:r>
      <w:r>
        <w:rPr>
          <w:rFonts w:hint="eastAsia" w:ascii="宋体" w:hAnsi="宋体" w:cs="宋体"/>
          <w:color w:val="auto"/>
          <w:sz w:val="24"/>
          <w:highlight w:val="none"/>
          <w:lang w:val="en-US" w:eastAsia="zh-CN"/>
        </w:rPr>
        <w:t>管理体系</w:t>
      </w:r>
      <w:r>
        <w:rPr>
          <w:rFonts w:hint="eastAsia" w:ascii="宋体" w:hAnsi="宋体" w:eastAsia="宋体" w:cs="宋体"/>
          <w:color w:val="auto"/>
          <w:sz w:val="24"/>
          <w:highlight w:val="none"/>
        </w:rPr>
        <w:t>文件与实际业务运作严重脱离。</w:t>
      </w:r>
    </w:p>
    <w:p w14:paraId="5D70C23C">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针对监督审核中发现的不符合项（严重不符合项）</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客户未在商定的时间内采取相应纠正和纠正措施；或在商定的时间内所采取的纠正、纠正措施未被审核组接受（或未被证实有效）。</w:t>
      </w:r>
    </w:p>
    <w:p w14:paraId="6796412D">
      <w:pPr>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不能按照规定的时间间隔接受监督审核的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获证客户初次认证及再认证后的第一次监督审核应在认证证书签发之日起12个月内进行</w:t>
      </w:r>
      <w:r>
        <w:rPr>
          <w:rFonts w:hint="eastAsia" w:ascii="宋体" w:hAnsi="宋体" w:cs="宋体"/>
          <w:color w:val="auto"/>
          <w:sz w:val="24"/>
          <w:highlight w:val="none"/>
          <w:lang w:eastAsia="zh-CN"/>
        </w:rPr>
        <w:t>，</w:t>
      </w:r>
      <w:r>
        <w:rPr>
          <w:rFonts w:hint="eastAsia" w:ascii="宋体" w:hAnsi="宋体" w:cs="宋体"/>
          <w:color w:val="auto"/>
          <w:sz w:val="24"/>
          <w:highlight w:val="none"/>
          <w:lang w:eastAsia="zh-CN"/>
        </w:rPr>
        <w:t>第二次监督审核应在认证证书签发之日起24个月内进行，</w:t>
      </w:r>
      <w:r>
        <w:rPr>
          <w:rFonts w:hint="eastAsia" w:ascii="宋体" w:hAnsi="宋体" w:cs="宋体"/>
          <w:color w:val="auto"/>
          <w:sz w:val="24"/>
          <w:highlight w:val="none"/>
          <w:lang w:val="en-US" w:eastAsia="zh-CN"/>
        </w:rPr>
        <w:t>且</w:t>
      </w:r>
      <w:r>
        <w:rPr>
          <w:rFonts w:hint="eastAsia" w:ascii="宋体" w:hAnsi="宋体" w:cs="宋体"/>
          <w:color w:val="auto"/>
          <w:sz w:val="24"/>
          <w:highlight w:val="none"/>
          <w:lang w:eastAsia="zh-CN"/>
        </w:rPr>
        <w:t>两次监督审核的时间间隔不应超过12个月，除再认证的年份外，监督审核每个日历年需要进行1次；</w:t>
      </w:r>
    </w:p>
    <w:p w14:paraId="586EF221">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未按相关规定及</w:t>
      </w:r>
      <w:r>
        <w:rPr>
          <w:rFonts w:hint="eastAsia" w:ascii="宋体" w:hAnsi="宋体" w:eastAsia="宋体" w:cs="宋体"/>
          <w:color w:val="auto"/>
          <w:sz w:val="24"/>
          <w:highlight w:val="none"/>
          <w:lang w:val="en-US" w:eastAsia="zh-Hans"/>
        </w:rPr>
        <w:t>乙方</w:t>
      </w:r>
      <w:r>
        <w:rPr>
          <w:rFonts w:hint="eastAsia" w:ascii="宋体" w:hAnsi="宋体" w:eastAsia="宋体" w:cs="宋体"/>
          <w:color w:val="auto"/>
          <w:sz w:val="24"/>
          <w:highlight w:val="none"/>
        </w:rPr>
        <w:t>《认证标志使用及认证证书管理规定》</w:t>
      </w:r>
      <w:r>
        <w:rPr>
          <w:rFonts w:hint="eastAsia" w:ascii="宋体" w:hAnsi="宋体" w:cs="宋体"/>
          <w:color w:val="auto"/>
          <w:sz w:val="24"/>
          <w:highlight w:val="none"/>
          <w:lang w:val="en-US" w:eastAsia="zh-CN"/>
        </w:rPr>
        <w:t>正确引用和宣传获得的认证证书和有关信息</w:t>
      </w:r>
      <w:r>
        <w:rPr>
          <w:rFonts w:hint="eastAsia" w:ascii="宋体" w:hAnsi="宋体" w:eastAsia="宋体" w:cs="宋体"/>
          <w:color w:val="auto"/>
          <w:sz w:val="24"/>
          <w:highlight w:val="none"/>
        </w:rPr>
        <w:t>；</w:t>
      </w:r>
    </w:p>
    <w:p w14:paraId="094772CE">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获证客户及其管理体系运行的内、外环境发生重大变更已不满足原认证覆盖范围要求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且未及时通知</w:t>
      </w:r>
      <w:r>
        <w:rPr>
          <w:rFonts w:hint="eastAsia" w:ascii="宋体" w:hAnsi="宋体" w:eastAsia="宋体" w:cs="宋体"/>
          <w:color w:val="auto"/>
          <w:sz w:val="24"/>
          <w:highlight w:val="none"/>
          <w:lang w:val="en-US" w:eastAsia="zh-Hans"/>
        </w:rPr>
        <w:t>乙方</w:t>
      </w:r>
      <w:r>
        <w:rPr>
          <w:rFonts w:hint="eastAsia" w:ascii="宋体" w:hAnsi="宋体" w:eastAsia="宋体" w:cs="宋体"/>
          <w:color w:val="auto"/>
          <w:sz w:val="24"/>
          <w:highlight w:val="none"/>
        </w:rPr>
        <w:t>妥善处理；</w:t>
      </w:r>
    </w:p>
    <w:p w14:paraId="32EED82F">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6、发生影响产品质量重大事故/</w:t>
      </w:r>
      <w:r>
        <w:rPr>
          <w:rFonts w:hint="eastAsia" w:ascii="宋体" w:hAnsi="宋体" w:eastAsia="宋体" w:cs="宋体"/>
          <w:color w:val="auto"/>
          <w:sz w:val="24"/>
          <w:highlight w:val="none"/>
        </w:rPr>
        <w:t>突发环境事件/较大生产安全事故/重大及以上级别网络安全事件的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或国家行业监察发现重大问题</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或发生导致监管机构介入的严重事件或违法情况；</w:t>
      </w:r>
    </w:p>
    <w:p w14:paraId="50C44062">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cs="宋体"/>
          <w:color w:val="auto"/>
          <w:sz w:val="24"/>
          <w:lang w:eastAsia="zh-CN"/>
        </w:rPr>
        <w:t>.</w:t>
      </w:r>
      <w:r>
        <w:rPr>
          <w:rFonts w:hint="eastAsia" w:ascii="宋体" w:hAnsi="宋体" w:eastAsia="宋体" w:cs="宋体"/>
          <w:color w:val="auto"/>
          <w:sz w:val="24"/>
        </w:rPr>
        <w:t>被有关</w:t>
      </w:r>
      <w:r>
        <w:rPr>
          <w:rFonts w:hint="eastAsia" w:ascii="宋体" w:hAnsi="宋体" w:cs="宋体"/>
          <w:color w:val="auto"/>
          <w:sz w:val="24"/>
          <w:lang w:val="en-US" w:eastAsia="zh-CN"/>
        </w:rPr>
        <w:t>行政</w:t>
      </w:r>
      <w:r>
        <w:rPr>
          <w:rFonts w:hint="eastAsia" w:ascii="宋体" w:hAnsi="宋体" w:eastAsia="宋体" w:cs="宋体"/>
          <w:color w:val="auto"/>
          <w:sz w:val="24"/>
        </w:rPr>
        <w:t>监管部门责令停业整顿；</w:t>
      </w:r>
    </w:p>
    <w:p w14:paraId="596F4D2A">
      <w:pPr>
        <w:spacing w:line="42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8.拒绝配合市场监管部门的认证执法监督检查，或者提供虚假材料或信息；</w:t>
      </w:r>
    </w:p>
    <w:p w14:paraId="3573207D">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lang w:eastAsia="zh-CN"/>
        </w:rPr>
        <w:t>.</w:t>
      </w:r>
      <w:r>
        <w:rPr>
          <w:rFonts w:hint="eastAsia" w:ascii="宋体" w:hAnsi="宋体" w:eastAsia="宋体" w:cs="宋体"/>
          <w:color w:val="auto"/>
          <w:sz w:val="24"/>
        </w:rPr>
        <w:t>被地方认证监管部门发现体系运行存在问题</w:t>
      </w:r>
      <w:r>
        <w:rPr>
          <w:rFonts w:hint="eastAsia" w:ascii="宋体" w:hAnsi="宋体" w:cs="宋体"/>
          <w:color w:val="auto"/>
          <w:sz w:val="24"/>
          <w:lang w:eastAsia="zh-CN"/>
        </w:rPr>
        <w:t>，</w:t>
      </w:r>
      <w:r>
        <w:rPr>
          <w:rFonts w:hint="eastAsia" w:ascii="宋体" w:hAnsi="宋体" w:cs="宋体"/>
          <w:color w:val="auto"/>
          <w:sz w:val="24"/>
          <w:lang w:val="en-US" w:eastAsia="zh-CN"/>
        </w:rPr>
        <w:t>或受到与质量/环境/职业健康安全/能源/网络安全/信息技术服务等相关的行政处罚，且尚未完成整改的</w:t>
      </w:r>
      <w:r>
        <w:rPr>
          <w:rFonts w:hint="eastAsia" w:ascii="宋体" w:hAnsi="宋体" w:eastAsia="宋体" w:cs="宋体"/>
          <w:color w:val="auto"/>
          <w:sz w:val="24"/>
        </w:rPr>
        <w:t>；</w:t>
      </w:r>
    </w:p>
    <w:p w14:paraId="6F4D7345">
      <w:pPr>
        <w:spacing w:line="42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持有的与</w:t>
      </w:r>
      <w:r>
        <w:rPr>
          <w:rFonts w:hint="eastAsia" w:ascii="宋体" w:hAnsi="宋体" w:cs="宋体"/>
          <w:color w:val="auto"/>
          <w:sz w:val="24"/>
          <w:highlight w:val="none"/>
          <w:lang w:val="en-US" w:eastAsia="zh-CN"/>
        </w:rPr>
        <w:t>认证领域业务</w:t>
      </w:r>
      <w:r>
        <w:rPr>
          <w:rFonts w:hint="eastAsia" w:ascii="宋体" w:hAnsi="宋体" w:eastAsia="宋体" w:cs="宋体"/>
          <w:color w:val="auto"/>
          <w:sz w:val="24"/>
          <w:highlight w:val="none"/>
        </w:rPr>
        <w:t>范围有关的行政许可文件、资质证书、强制性认证证书等过期失效的；</w:t>
      </w:r>
    </w:p>
    <w:p w14:paraId="37AFADC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有对甲方的其投诉或任何其它信息证实表明获证客户不再符合</w:t>
      </w:r>
      <w:r>
        <w:rPr>
          <w:rFonts w:hint="eastAsia" w:ascii="宋体" w:hAnsi="宋体" w:cs="宋体"/>
          <w:color w:val="auto"/>
          <w:sz w:val="24"/>
          <w:lang w:val="en-US" w:eastAsia="zh-CN"/>
        </w:rPr>
        <w:t>认证法规和</w:t>
      </w:r>
      <w:r>
        <w:rPr>
          <w:rFonts w:hint="eastAsia" w:ascii="宋体" w:hAnsi="宋体" w:cs="宋体"/>
          <w:color w:val="auto"/>
          <w:sz w:val="24"/>
          <w:highlight w:val="none"/>
          <w:lang w:val="en-US" w:eastAsia="zh-CN"/>
        </w:rPr>
        <w:t>乙方</w:t>
      </w:r>
      <w:r>
        <w:rPr>
          <w:rFonts w:hint="eastAsia" w:ascii="宋体" w:hAnsi="宋体" w:eastAsia="宋体" w:cs="宋体"/>
          <w:color w:val="auto"/>
          <w:sz w:val="24"/>
        </w:rPr>
        <w:t>的相关规定要求；</w:t>
      </w:r>
    </w:p>
    <w:p w14:paraId="730E5E32">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未按本合同约定及时交纳有关认证费用；</w:t>
      </w:r>
    </w:p>
    <w:p w14:paraId="1140225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eastAsia="宋体" w:cs="宋体"/>
          <w:color w:val="auto"/>
          <w:sz w:val="24"/>
        </w:rPr>
        <w:t>不承担、不履行认证合同约定的责任和义务；</w:t>
      </w:r>
    </w:p>
    <w:p w14:paraId="6E7C650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eastAsia="宋体" w:cs="宋体"/>
          <w:color w:val="auto"/>
          <w:sz w:val="24"/>
        </w:rPr>
        <w:t>获证客户主动请求暂停；</w:t>
      </w:r>
    </w:p>
    <w:p w14:paraId="032EBB0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eastAsia="宋体" w:cs="宋体"/>
          <w:color w:val="auto"/>
          <w:sz w:val="24"/>
        </w:rPr>
        <w:t>HACCP获证客户无正当理由连续两次不接受不通知现场审核的；</w:t>
      </w:r>
    </w:p>
    <w:p w14:paraId="2061FFC1">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16.</w:t>
      </w:r>
      <w:r>
        <w:rPr>
          <w:rFonts w:hint="eastAsia" w:ascii="宋体" w:hAnsi="宋体" w:cs="宋体"/>
          <w:color w:val="auto"/>
          <w:sz w:val="24"/>
          <w:lang w:val="en-US" w:eastAsia="zh-CN"/>
        </w:rPr>
        <w:t>不满足管理体系适用的法律法规要求，且未采取有效纠正措施；</w:t>
      </w:r>
    </w:p>
    <w:p w14:paraId="29C517F9">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17.发生与质量/</w:t>
      </w:r>
      <w:r>
        <w:rPr>
          <w:rFonts w:hint="eastAsia" w:ascii="宋体" w:hAnsi="宋体" w:cs="宋体"/>
          <w:color w:val="auto"/>
          <w:sz w:val="24"/>
          <w:lang w:val="en-US" w:eastAsia="zh-CN"/>
        </w:rPr>
        <w:t>环境/职业健康安全/能源/网络安全/信息技术服务等</w:t>
      </w:r>
      <w:r>
        <w:rPr>
          <w:rFonts w:hint="eastAsia" w:ascii="宋体" w:hAnsi="宋体" w:cs="宋体"/>
          <w:color w:val="auto"/>
          <w:sz w:val="24"/>
          <w:lang w:val="en-US" w:eastAsia="zh-CN"/>
        </w:rPr>
        <w:t>相关重大舆情；</w:t>
      </w:r>
    </w:p>
    <w:p w14:paraId="5952A79F">
      <w:pPr>
        <w:spacing w:line="42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18.</w:t>
      </w:r>
      <w:r>
        <w:rPr>
          <w:rFonts w:hint="eastAsia" w:ascii="宋体" w:hAnsi="宋体" w:eastAsia="宋体" w:cs="宋体"/>
          <w:color w:val="auto"/>
          <w:sz w:val="24"/>
        </w:rPr>
        <w:t>监督审核时发现的严重不符合的纠正措施未能在3个月内完成验证的</w:t>
      </w:r>
      <w:r>
        <w:rPr>
          <w:rFonts w:hint="eastAsia" w:ascii="宋体" w:hAnsi="宋体" w:cs="宋体"/>
          <w:color w:val="auto"/>
          <w:sz w:val="24"/>
          <w:lang w:eastAsia="zh-CN"/>
        </w:rPr>
        <w:t>；</w:t>
      </w:r>
    </w:p>
    <w:p w14:paraId="0F8246A7">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19</w:t>
      </w:r>
      <w:r>
        <w:rPr>
          <w:rFonts w:hint="eastAsia" w:ascii="宋体" w:hAnsi="宋体" w:cs="宋体"/>
          <w:color w:val="auto"/>
          <w:sz w:val="24"/>
          <w:lang w:eastAsia="zh-CN"/>
        </w:rPr>
        <w:t>.</w:t>
      </w:r>
      <w:r>
        <w:rPr>
          <w:rFonts w:hint="eastAsia" w:ascii="宋体" w:hAnsi="宋体" w:eastAsia="宋体" w:cs="宋体"/>
          <w:color w:val="auto"/>
          <w:sz w:val="24"/>
        </w:rPr>
        <w:t>其他应当暂停认证证书的情况。</w:t>
      </w:r>
    </w:p>
    <w:p w14:paraId="4E1BBF4B">
      <w:pPr>
        <w:spacing w:line="42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十</w:t>
      </w:r>
      <w:r>
        <w:rPr>
          <w:rFonts w:hint="eastAsia" w:ascii="宋体" w:hAnsi="宋体" w:cs="宋体"/>
          <w:color w:val="auto"/>
          <w:sz w:val="24"/>
          <w:lang w:val="en-US" w:eastAsia="zh-CN"/>
        </w:rPr>
        <w:t>三</w:t>
      </w:r>
      <w:r>
        <w:rPr>
          <w:rFonts w:hint="eastAsia" w:ascii="宋体" w:hAnsi="宋体" w:eastAsia="宋体" w:cs="宋体"/>
          <w:color w:val="auto"/>
          <w:sz w:val="24"/>
          <w:lang w:val="en-US" w:eastAsia="zh-Hans"/>
        </w:rPr>
        <w:t>、</w:t>
      </w:r>
      <w:r>
        <w:rPr>
          <w:rFonts w:hint="eastAsia" w:ascii="宋体" w:hAnsi="宋体" w:cs="宋体"/>
          <w:color w:val="auto"/>
          <w:sz w:val="24"/>
          <w:lang w:val="en-US" w:eastAsia="zh-CN"/>
        </w:rPr>
        <w:t>甲方应接受乙方</w:t>
      </w:r>
      <w:r>
        <w:rPr>
          <w:rFonts w:hint="eastAsia" w:ascii="宋体" w:hAnsi="宋体" w:eastAsia="宋体" w:cs="宋体"/>
          <w:color w:val="auto"/>
          <w:sz w:val="24"/>
          <w:lang w:val="en-US" w:eastAsia="zh-Hans"/>
        </w:rPr>
        <w:t>为调查投诉、</w:t>
      </w:r>
      <w:r>
        <w:rPr>
          <w:rFonts w:hint="eastAsia" w:ascii="宋体" w:hAnsi="宋体" w:eastAsia="宋体" w:cs="宋体"/>
          <w:color w:val="auto"/>
          <w:sz w:val="24"/>
        </w:rPr>
        <w:t>事故</w:t>
      </w:r>
      <w:r>
        <w:rPr>
          <w:rFonts w:hint="eastAsia" w:ascii="宋体" w:hAnsi="宋体" w:cs="宋体"/>
          <w:color w:val="auto"/>
          <w:sz w:val="24"/>
          <w:lang w:val="en-US" w:eastAsia="zh-CN"/>
        </w:rPr>
        <w:t>/事件</w:t>
      </w:r>
      <w:r>
        <w:rPr>
          <w:rFonts w:hint="eastAsia" w:ascii="宋体" w:hAnsi="宋体" w:eastAsia="宋体" w:cs="宋体"/>
          <w:color w:val="auto"/>
          <w:sz w:val="24"/>
          <w:lang w:val="en-US" w:eastAsia="zh-Hans"/>
        </w:rPr>
        <w:t>，</w:t>
      </w:r>
      <w:r>
        <w:rPr>
          <w:rFonts w:hint="eastAsia" w:ascii="宋体" w:hAnsi="宋体" w:eastAsia="宋体" w:cs="宋体"/>
          <w:color w:val="auto"/>
          <w:sz w:val="24"/>
        </w:rPr>
        <w:t>甲方产品在产品质量国家监督抽查中被查出不合格</w:t>
      </w:r>
      <w:r>
        <w:rPr>
          <w:rFonts w:hint="eastAsia" w:ascii="宋体" w:hAnsi="宋体" w:cs="宋体"/>
          <w:color w:val="auto"/>
          <w:sz w:val="24"/>
          <w:lang w:eastAsia="zh-CN"/>
        </w:rPr>
        <w:t>，</w:t>
      </w:r>
      <w:r>
        <w:rPr>
          <w:rFonts w:hint="eastAsia" w:ascii="宋体" w:hAnsi="宋体" w:eastAsia="宋体" w:cs="宋体"/>
          <w:color w:val="auto"/>
          <w:sz w:val="24"/>
          <w:lang w:val="en-US" w:eastAsia="zh-Hans"/>
        </w:rPr>
        <w:t>对</w:t>
      </w:r>
      <w:r>
        <w:rPr>
          <w:rFonts w:hint="eastAsia" w:ascii="宋体" w:hAnsi="宋体" w:cs="宋体"/>
          <w:color w:val="auto"/>
          <w:sz w:val="24"/>
          <w:lang w:val="en-US" w:eastAsia="zh-CN"/>
        </w:rPr>
        <w:t>甲方</w:t>
      </w:r>
      <w:r>
        <w:rPr>
          <w:rFonts w:hint="eastAsia" w:ascii="宋体" w:hAnsi="宋体" w:eastAsia="宋体" w:cs="宋体"/>
          <w:color w:val="auto"/>
          <w:sz w:val="24"/>
          <w:lang w:val="en-US" w:eastAsia="zh-Hans"/>
        </w:rPr>
        <w:t>变更做出回应或对</w:t>
      </w:r>
      <w:r>
        <w:rPr>
          <w:rFonts w:hint="eastAsia" w:ascii="宋体" w:hAnsi="宋体" w:cs="宋体"/>
          <w:color w:val="auto"/>
          <w:sz w:val="24"/>
          <w:lang w:val="en-US" w:eastAsia="zh-CN"/>
        </w:rPr>
        <w:t>甲方证书</w:t>
      </w:r>
      <w:r>
        <w:rPr>
          <w:rFonts w:hint="eastAsia" w:ascii="宋体" w:hAnsi="宋体" w:eastAsia="宋体" w:cs="宋体"/>
          <w:color w:val="auto"/>
          <w:sz w:val="24"/>
          <w:lang w:val="en-US" w:eastAsia="zh-Hans"/>
        </w:rPr>
        <w:t>被暂停进行追踪</w:t>
      </w:r>
      <w:r>
        <w:rPr>
          <w:rFonts w:hint="eastAsia" w:ascii="宋体" w:hAnsi="宋体" w:cs="宋体"/>
          <w:color w:val="auto"/>
          <w:sz w:val="24"/>
          <w:lang w:val="en-US" w:eastAsia="zh-CN"/>
        </w:rPr>
        <w:t>安排的特殊</w:t>
      </w:r>
      <w:r>
        <w:rPr>
          <w:rFonts w:hint="eastAsia" w:ascii="宋体" w:hAnsi="宋体" w:eastAsia="宋体" w:cs="宋体"/>
          <w:color w:val="auto"/>
          <w:sz w:val="24"/>
          <w:lang w:val="en-US" w:eastAsia="zh-Hans"/>
        </w:rPr>
        <w:t>审核，</w:t>
      </w:r>
      <w:r>
        <w:rPr>
          <w:rFonts w:hint="eastAsia" w:ascii="宋体" w:hAnsi="宋体" w:cs="宋体"/>
          <w:color w:val="auto"/>
          <w:sz w:val="24"/>
          <w:lang w:val="en-US" w:eastAsia="zh-CN"/>
        </w:rPr>
        <w:t>乙方在安排此类审核时确保安排的审核组不会对认证公正性造成影响，</w:t>
      </w:r>
      <w:r>
        <w:rPr>
          <w:rFonts w:hint="eastAsia" w:ascii="宋体" w:hAnsi="宋体" w:eastAsia="宋体" w:cs="宋体"/>
          <w:color w:val="auto"/>
          <w:sz w:val="24"/>
        </w:rPr>
        <w:t>基于此项工作产生的额外费用由甲方承担</w:t>
      </w:r>
      <w:r>
        <w:rPr>
          <w:rFonts w:hint="eastAsia" w:ascii="宋体" w:hAnsi="宋体" w:cs="宋体"/>
          <w:color w:val="auto"/>
          <w:sz w:val="24"/>
          <w:lang w:val="en-US" w:eastAsia="zh-CN"/>
        </w:rPr>
        <w:t>。以下为开展此类审核的各项条件：</w:t>
      </w:r>
    </w:p>
    <w:p w14:paraId="14E7176C">
      <w:pPr>
        <w:spacing w:line="420" w:lineRule="exact"/>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Hans"/>
        </w:rPr>
        <w:t>（1）</w:t>
      </w:r>
      <w:r>
        <w:rPr>
          <w:rFonts w:hint="eastAsia" w:ascii="宋体" w:hAnsi="宋体" w:cs="宋体"/>
          <w:color w:val="auto"/>
          <w:sz w:val="24"/>
          <w:lang w:val="en-US" w:eastAsia="zh-CN"/>
        </w:rPr>
        <w:t>有社会各方投诉甲方认证范围内的产品/服务存在不符合，并提供了可靠线索的；</w:t>
      </w:r>
    </w:p>
    <w:p w14:paraId="4E7826E1">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（2）有社会各方（含甲方）或媒体公布的信息显示甲方发生了与认证业务范围相关的</w:t>
      </w:r>
      <w:r>
        <w:rPr>
          <w:rFonts w:hint="eastAsia" w:ascii="宋体" w:hAnsi="宋体" w:eastAsia="宋体" w:cs="宋体"/>
          <w:color w:val="auto"/>
          <w:sz w:val="24"/>
        </w:rPr>
        <w:t>事故</w:t>
      </w:r>
      <w:r>
        <w:rPr>
          <w:rFonts w:hint="eastAsia" w:ascii="宋体" w:hAnsi="宋体" w:cs="宋体"/>
          <w:color w:val="auto"/>
          <w:sz w:val="24"/>
          <w:lang w:val="en-US" w:eastAsia="zh-CN"/>
        </w:rPr>
        <w:t>/事件</w:t>
      </w:r>
      <w:r>
        <w:rPr>
          <w:rFonts w:hint="eastAsia" w:ascii="宋体" w:hAnsi="宋体" w:cs="宋体"/>
          <w:color w:val="auto"/>
          <w:sz w:val="24"/>
          <w:lang w:val="en-US" w:eastAsia="zh-CN"/>
        </w:rPr>
        <w:t>；</w:t>
      </w:r>
    </w:p>
    <w:p w14:paraId="271C60E1">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（3）有各个渠道反馈或媒体公布的信息显示甲方存在</w:t>
      </w:r>
      <w:r>
        <w:rPr>
          <w:rFonts w:hint="eastAsia" w:ascii="宋体" w:hAnsi="宋体" w:eastAsia="宋体" w:cs="宋体"/>
          <w:color w:val="auto"/>
          <w:sz w:val="24"/>
          <w:lang w:val="en-US" w:eastAsia="zh-Hans"/>
        </w:rPr>
        <w:t>质量</w:t>
      </w:r>
      <w:r>
        <w:rPr>
          <w:rFonts w:hint="eastAsia" w:ascii="宋体" w:hAnsi="宋体" w:cs="宋体"/>
          <w:color w:val="auto"/>
          <w:sz w:val="24"/>
          <w:lang w:val="en-US" w:eastAsia="zh-CN"/>
        </w:rPr>
        <w:t>、</w:t>
      </w:r>
      <w:r>
        <w:rPr>
          <w:rFonts w:hint="eastAsia" w:ascii="宋体" w:hAnsi="宋体" w:cs="宋体"/>
          <w:color w:val="auto"/>
          <w:sz w:val="24"/>
          <w:lang w:val="en-US" w:eastAsia="zh-CN"/>
        </w:rPr>
        <w:t>环境、安全等事故/事件</w:t>
      </w:r>
      <w:r>
        <w:rPr>
          <w:rFonts w:hint="eastAsia" w:ascii="宋体" w:hAnsi="宋体" w:cs="宋体"/>
          <w:color w:val="auto"/>
          <w:sz w:val="24"/>
          <w:lang w:val="en-US" w:eastAsia="zh-CN"/>
        </w:rPr>
        <w:t>的；</w:t>
      </w:r>
    </w:p>
    <w:p w14:paraId="126153A6">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（4）甲方存在重大变更时（如经营地址搬迁，生产经营条件变更，主要管理人员调整，组织结构变更等）；</w:t>
      </w:r>
    </w:p>
    <w:p w14:paraId="23755D8B">
      <w:pPr>
        <w:spacing w:line="42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（5）因甲方在管理体系运行、发生事故、被投诉等原因被暂停证书的；</w:t>
      </w:r>
    </w:p>
    <w:p w14:paraId="6DEA5411">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甲方产品在产品质量国家监督抽查中被查出不合格</w:t>
      </w:r>
      <w:r>
        <w:rPr>
          <w:rFonts w:hint="eastAsia" w:ascii="宋体" w:hAnsi="宋体" w:cs="宋体"/>
          <w:color w:val="auto"/>
          <w:sz w:val="24"/>
          <w:lang w:val="en-US" w:eastAsia="zh-CN"/>
        </w:rPr>
        <w:t>的</w:t>
      </w:r>
      <w:r>
        <w:rPr>
          <w:rFonts w:hint="eastAsia" w:ascii="宋体" w:hAnsi="宋体" w:cs="宋体"/>
          <w:color w:val="auto"/>
          <w:sz w:val="24"/>
          <w:lang w:eastAsia="zh-CN"/>
        </w:rPr>
        <w:t>，</w:t>
      </w:r>
      <w:r>
        <w:rPr>
          <w:rFonts w:hint="eastAsia" w:ascii="宋体" w:hAnsi="宋体" w:eastAsia="宋体" w:cs="宋体"/>
          <w:color w:val="auto"/>
          <w:sz w:val="24"/>
        </w:rPr>
        <w:t>自国家市场监督管理总局发出通报起30日内</w:t>
      </w:r>
      <w:r>
        <w:rPr>
          <w:rFonts w:hint="eastAsia" w:ascii="宋体" w:hAnsi="宋体" w:cs="宋体"/>
          <w:color w:val="auto"/>
          <w:sz w:val="24"/>
          <w:lang w:eastAsia="zh-CN"/>
        </w:rPr>
        <w:t>，</w:t>
      </w:r>
      <w:r>
        <w:rPr>
          <w:rFonts w:hint="eastAsia" w:ascii="宋体" w:hAnsi="宋体" w:eastAsia="宋体" w:cs="宋体"/>
          <w:color w:val="auto"/>
          <w:sz w:val="24"/>
        </w:rPr>
        <w:t>乙方将对甲方实施提前较短时间通知的审核。</w:t>
      </w:r>
    </w:p>
    <w:p w14:paraId="35CEE11A">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rPr>
        <w:t>十</w:t>
      </w:r>
      <w:r>
        <w:rPr>
          <w:rFonts w:hint="eastAsia" w:ascii="宋体" w:hAnsi="宋体" w:cs="宋体"/>
          <w:color w:val="auto"/>
          <w:sz w:val="24"/>
          <w:lang w:val="en-US" w:eastAsia="zh-CN"/>
        </w:rPr>
        <w:t>四</w:t>
      </w:r>
      <w:r>
        <w:rPr>
          <w:rFonts w:hint="eastAsia" w:ascii="宋体" w:hAnsi="宋体" w:eastAsia="宋体" w:cs="宋体"/>
          <w:color w:val="auto"/>
          <w:sz w:val="24"/>
          <w:lang w:val="en-US" w:eastAsia="zh-Hans"/>
        </w:rPr>
        <w:t>、</w:t>
      </w:r>
      <w:r>
        <w:rPr>
          <w:rFonts w:hint="eastAsia" w:ascii="宋体" w:hAnsi="宋体" w:eastAsia="宋体" w:cs="宋体"/>
          <w:color w:val="auto"/>
          <w:sz w:val="24"/>
        </w:rPr>
        <w:t>甲方出现下列情况之一者</w:t>
      </w:r>
      <w:r>
        <w:rPr>
          <w:rFonts w:hint="eastAsia" w:ascii="宋体" w:hAnsi="宋体" w:cs="宋体"/>
          <w:color w:val="auto"/>
          <w:sz w:val="24"/>
          <w:lang w:eastAsia="zh-CN"/>
        </w:rPr>
        <w:t>，</w:t>
      </w:r>
      <w:r>
        <w:rPr>
          <w:rFonts w:hint="eastAsia" w:ascii="宋体" w:hAnsi="宋体" w:eastAsia="宋体" w:cs="宋体"/>
          <w:color w:val="auto"/>
          <w:sz w:val="24"/>
        </w:rPr>
        <w:t>乙方将撤销其认证/注册资格</w:t>
      </w:r>
      <w:r>
        <w:rPr>
          <w:rFonts w:hint="eastAsia" w:ascii="宋体" w:hAnsi="宋体" w:cs="宋体"/>
          <w:color w:val="auto"/>
          <w:sz w:val="24"/>
          <w:lang w:eastAsia="zh-CN"/>
        </w:rPr>
        <w:t>，</w:t>
      </w:r>
      <w:r>
        <w:rPr>
          <w:rFonts w:hint="eastAsia" w:ascii="宋体" w:hAnsi="宋体" w:eastAsia="宋体" w:cs="宋体"/>
          <w:color w:val="auto"/>
          <w:sz w:val="24"/>
        </w:rPr>
        <w:t>甲方应将原证书及副本交回</w:t>
      </w:r>
      <w:r>
        <w:rPr>
          <w:rFonts w:hint="eastAsia" w:ascii="宋体" w:hAnsi="宋体" w:eastAsia="宋体" w:cs="宋体"/>
          <w:color w:val="auto"/>
          <w:sz w:val="24"/>
          <w:highlight w:val="none"/>
        </w:rPr>
        <w:t>乙方：</w:t>
      </w:r>
    </w:p>
    <w:p w14:paraId="202A928F">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审核时发现甲方没有运行管理体系或者已不具备运行条件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结论为否定意见；</w:t>
      </w:r>
    </w:p>
    <w:p w14:paraId="5AC54E7C">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严重违反国家法规、或</w:t>
      </w:r>
      <w:r>
        <w:rPr>
          <w:rFonts w:hint="eastAsia" w:ascii="宋体" w:hAnsi="宋体" w:eastAsia="宋体" w:cs="宋体"/>
          <w:color w:val="auto"/>
          <w:sz w:val="24"/>
          <w:highlight w:val="none"/>
          <w:lang w:val="en-US" w:eastAsia="zh-Hans"/>
        </w:rPr>
        <w:t>乙方</w:t>
      </w:r>
      <w:r>
        <w:rPr>
          <w:rFonts w:hint="eastAsia" w:ascii="宋体" w:hAnsi="宋体" w:eastAsia="宋体" w:cs="宋体"/>
          <w:color w:val="auto"/>
          <w:sz w:val="24"/>
          <w:highlight w:val="none"/>
        </w:rPr>
        <w:t>有关规定；</w:t>
      </w:r>
    </w:p>
    <w:p w14:paraId="7A55765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w:t>
      </w:r>
      <w:r>
        <w:rPr>
          <w:rFonts w:hint="eastAsia" w:ascii="宋体" w:hAnsi="宋体" w:eastAsia="宋体" w:cs="宋体"/>
          <w:color w:val="auto"/>
          <w:sz w:val="24"/>
        </w:rPr>
        <w:t>发生影响</w:t>
      </w:r>
      <w:r>
        <w:rPr>
          <w:rFonts w:hint="eastAsia" w:ascii="宋体" w:hAnsi="宋体" w:eastAsia="宋体" w:cs="宋体"/>
          <w:color w:val="auto"/>
          <w:sz w:val="24"/>
        </w:rPr>
        <w:t>产品质量重大事故</w:t>
      </w:r>
      <w:r>
        <w:rPr>
          <w:rFonts w:hint="eastAsia" w:ascii="宋体" w:hAnsi="宋体" w:cs="宋体"/>
          <w:color w:val="auto"/>
          <w:sz w:val="24"/>
          <w:lang w:eastAsia="zh-CN"/>
        </w:rPr>
        <w:t>、</w:t>
      </w:r>
      <w:r>
        <w:rPr>
          <w:rFonts w:hint="eastAsia" w:ascii="宋体" w:hAnsi="宋体" w:eastAsia="宋体" w:cs="宋体"/>
          <w:color w:val="auto"/>
          <w:sz w:val="24"/>
        </w:rPr>
        <w:t>突发环境事件</w:t>
      </w:r>
      <w:r>
        <w:rPr>
          <w:rFonts w:hint="eastAsia" w:ascii="宋体" w:hAnsi="宋体" w:cs="宋体"/>
          <w:color w:val="auto"/>
          <w:sz w:val="24"/>
          <w:lang w:eastAsia="zh-CN"/>
        </w:rPr>
        <w:t>、</w:t>
      </w:r>
      <w:r>
        <w:rPr>
          <w:rFonts w:hint="eastAsia" w:ascii="宋体" w:hAnsi="宋体" w:eastAsia="宋体" w:cs="宋体"/>
          <w:color w:val="auto"/>
          <w:sz w:val="24"/>
        </w:rPr>
        <w:t>重大安全事故</w:t>
      </w:r>
      <w:r>
        <w:rPr>
          <w:rFonts w:hint="eastAsia" w:ascii="宋体" w:hAnsi="宋体" w:cs="宋体"/>
          <w:color w:val="auto"/>
          <w:sz w:val="24"/>
          <w:lang w:eastAsia="zh-CN"/>
        </w:rPr>
        <w:t>、</w:t>
      </w:r>
      <w:r>
        <w:rPr>
          <w:rFonts w:hint="eastAsia" w:ascii="宋体" w:hAnsi="宋体" w:eastAsia="宋体" w:cs="宋体"/>
          <w:color w:val="auto"/>
          <w:sz w:val="24"/>
        </w:rPr>
        <w:t>食品安全的重大事故</w:t>
      </w:r>
      <w:r>
        <w:rPr>
          <w:rFonts w:hint="eastAsia" w:ascii="宋体" w:hAnsi="宋体" w:cs="宋体"/>
          <w:color w:val="auto"/>
          <w:sz w:val="24"/>
          <w:lang w:eastAsia="zh-CN"/>
        </w:rPr>
        <w:t>、重大及以上级别网络安全事件</w:t>
      </w:r>
      <w:r>
        <w:rPr>
          <w:rFonts w:hint="eastAsia" w:ascii="宋体" w:hAnsi="宋体" w:cs="宋体"/>
          <w:color w:val="auto"/>
          <w:sz w:val="24"/>
          <w:lang w:val="en-US" w:eastAsia="zh-CN"/>
        </w:rPr>
        <w:t>等情况</w:t>
      </w:r>
      <w:r>
        <w:rPr>
          <w:rFonts w:hint="eastAsia" w:ascii="宋体" w:hAnsi="宋体" w:cs="宋体"/>
          <w:color w:val="auto"/>
          <w:sz w:val="24"/>
          <w:lang w:eastAsia="zh-CN"/>
        </w:rPr>
        <w:t>，</w:t>
      </w:r>
      <w:r>
        <w:rPr>
          <w:rFonts w:hint="eastAsia" w:ascii="宋体" w:hAnsi="宋体" w:eastAsia="宋体" w:cs="宋体"/>
          <w:color w:val="auto"/>
          <w:sz w:val="24"/>
        </w:rPr>
        <w:t>造成严重不良社会影响的</w:t>
      </w:r>
      <w:r>
        <w:rPr>
          <w:rFonts w:hint="eastAsia" w:ascii="宋体" w:hAnsi="宋体" w:cs="宋体"/>
          <w:color w:val="auto"/>
          <w:sz w:val="24"/>
          <w:lang w:eastAsia="zh-CN"/>
        </w:rPr>
        <w:t>，</w:t>
      </w:r>
      <w:r>
        <w:rPr>
          <w:rFonts w:hint="eastAsia" w:ascii="宋体" w:hAnsi="宋体" w:eastAsia="宋体" w:cs="宋体"/>
          <w:color w:val="auto"/>
          <w:sz w:val="24"/>
        </w:rPr>
        <w:t>经调查（审核）造成事故的</w:t>
      </w:r>
      <w:r>
        <w:rPr>
          <w:rFonts w:hint="eastAsia" w:ascii="宋体" w:hAnsi="宋体" w:cs="宋体"/>
          <w:color w:val="auto"/>
          <w:sz w:val="24"/>
          <w:lang w:eastAsia="zh-CN"/>
        </w:rPr>
        <w:t>原因是</w:t>
      </w:r>
      <w:r>
        <w:rPr>
          <w:rFonts w:hint="eastAsia" w:ascii="宋体" w:hAnsi="宋体" w:eastAsia="宋体" w:cs="宋体"/>
          <w:color w:val="auto"/>
          <w:sz w:val="24"/>
        </w:rPr>
        <w:t>获证客户管理体系存在严重缺陷</w:t>
      </w:r>
      <w:r>
        <w:rPr>
          <w:rFonts w:hint="eastAsia" w:ascii="宋体" w:hAnsi="宋体" w:cs="宋体"/>
          <w:color w:val="auto"/>
          <w:sz w:val="24"/>
          <w:lang w:val="en-US" w:eastAsia="zh-CN"/>
        </w:rPr>
        <w:t>或</w:t>
      </w:r>
      <w:r>
        <w:rPr>
          <w:rFonts w:hint="eastAsia" w:ascii="宋体" w:hAnsi="宋体" w:eastAsia="宋体" w:cs="宋体"/>
          <w:color w:val="auto"/>
          <w:sz w:val="24"/>
        </w:rPr>
        <w:t>获证客户违规</w:t>
      </w:r>
      <w:r>
        <w:rPr>
          <w:rFonts w:hint="eastAsia" w:ascii="宋体" w:hAnsi="宋体" w:eastAsia="宋体" w:cs="宋体"/>
          <w:color w:val="auto"/>
          <w:sz w:val="24"/>
        </w:rPr>
        <w:t>或组织未能在暂停期内就重大事故的原因进行调查并采取有效的纠正措施；</w:t>
      </w:r>
    </w:p>
    <w:p w14:paraId="74A76CD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cs="宋体"/>
          <w:color w:val="auto"/>
          <w:sz w:val="24"/>
          <w:lang w:eastAsia="zh-CN"/>
        </w:rPr>
        <w:t>.</w:t>
      </w:r>
      <w:r>
        <w:rPr>
          <w:rFonts w:hint="eastAsia" w:ascii="宋体" w:hAnsi="宋体" w:eastAsia="宋体" w:cs="宋体"/>
          <w:color w:val="auto"/>
          <w:sz w:val="24"/>
        </w:rPr>
        <w:t>被</w:t>
      </w:r>
      <w:r>
        <w:rPr>
          <w:rFonts w:hint="eastAsia" w:ascii="宋体" w:hAnsi="宋体" w:cs="宋体"/>
          <w:color w:val="auto"/>
          <w:sz w:val="24"/>
          <w:lang w:val="en-US" w:eastAsia="zh-CN"/>
        </w:rPr>
        <w:t>“国家企业信用信息公示系统”和“信用中国”</w:t>
      </w:r>
      <w:r>
        <w:rPr>
          <w:rFonts w:hint="eastAsia" w:ascii="宋体" w:hAnsi="宋体" w:eastAsia="宋体" w:cs="宋体"/>
          <w:color w:val="auto"/>
          <w:sz w:val="24"/>
        </w:rPr>
        <w:t>列入</w:t>
      </w:r>
      <w:r>
        <w:rPr>
          <w:rFonts w:hint="eastAsia" w:ascii="宋体" w:hAnsi="宋体" w:cs="宋体"/>
          <w:color w:val="auto"/>
          <w:sz w:val="24"/>
          <w:lang w:val="en-US" w:eastAsia="zh-CN"/>
        </w:rPr>
        <w:t>严重违法失信名单</w:t>
      </w:r>
      <w:r>
        <w:rPr>
          <w:rFonts w:hint="eastAsia" w:ascii="宋体" w:hAnsi="宋体" w:eastAsia="宋体" w:cs="宋体"/>
          <w:color w:val="auto"/>
          <w:sz w:val="24"/>
        </w:rPr>
        <w:t>；</w:t>
      </w:r>
    </w:p>
    <w:p w14:paraId="1A4D4C9C">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5.被</w:t>
      </w:r>
      <w:r>
        <w:rPr>
          <w:rFonts w:hint="eastAsia" w:ascii="宋体" w:hAnsi="宋体" w:eastAsia="宋体" w:cs="宋体"/>
          <w:color w:val="auto"/>
          <w:sz w:val="24"/>
        </w:rPr>
        <w:t>应急管理部门列入安全生产严重失信主体名单</w:t>
      </w:r>
      <w:r>
        <w:rPr>
          <w:rFonts w:hint="eastAsia" w:ascii="宋体" w:hAnsi="宋体" w:cs="宋体"/>
          <w:color w:val="auto"/>
          <w:sz w:val="24"/>
          <w:lang w:val="en-US" w:eastAsia="zh-CN"/>
        </w:rPr>
        <w:t>（职业健康安全管理体系适用）</w:t>
      </w:r>
      <w:r>
        <w:rPr>
          <w:rFonts w:hint="eastAsia" w:ascii="宋体" w:hAnsi="宋体" w:eastAsia="宋体" w:cs="宋体"/>
          <w:color w:val="auto"/>
          <w:sz w:val="24"/>
        </w:rPr>
        <w:t>；</w:t>
      </w:r>
    </w:p>
    <w:p w14:paraId="6B4C911E">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eastAsia="宋体" w:cs="宋体"/>
          <w:color w:val="auto"/>
          <w:sz w:val="24"/>
        </w:rPr>
        <w:t>拒绝接受国家产品质量监督抽查的；</w:t>
      </w:r>
    </w:p>
    <w:p w14:paraId="2E61FF2F">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lang w:eastAsia="zh-CN"/>
        </w:rPr>
        <w:t>.</w:t>
      </w:r>
      <w:r>
        <w:rPr>
          <w:rFonts w:hint="eastAsia" w:ascii="宋体" w:hAnsi="宋体" w:eastAsia="宋体" w:cs="宋体"/>
          <w:color w:val="auto"/>
          <w:sz w:val="24"/>
        </w:rPr>
        <w:t>故意停运污染治理设施、长期超标排放</w:t>
      </w:r>
      <w:r>
        <w:rPr>
          <w:rFonts w:hint="eastAsia" w:ascii="宋体" w:hAnsi="宋体" w:cs="宋体"/>
          <w:color w:val="auto"/>
          <w:sz w:val="24"/>
          <w:lang w:eastAsia="zh-CN"/>
        </w:rPr>
        <w:t>，</w:t>
      </w:r>
      <w:r>
        <w:rPr>
          <w:rFonts w:hint="eastAsia" w:ascii="宋体" w:hAnsi="宋体" w:eastAsia="宋体" w:cs="宋体"/>
          <w:color w:val="auto"/>
          <w:sz w:val="24"/>
        </w:rPr>
        <w:t>造成恶劣影响的；</w:t>
      </w:r>
    </w:p>
    <w:p w14:paraId="5B23891F">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获</w:t>
      </w:r>
      <w:r>
        <w:rPr>
          <w:rFonts w:hint="eastAsia" w:ascii="宋体" w:hAnsi="宋体" w:eastAsia="宋体" w:cs="宋体"/>
          <w:color w:val="auto"/>
          <w:sz w:val="24"/>
        </w:rPr>
        <w:t>证组织法律地位证明文件被注销或撤销</w:t>
      </w:r>
      <w:r>
        <w:rPr>
          <w:rFonts w:hint="eastAsia" w:ascii="宋体" w:hAnsi="宋体" w:cs="宋体"/>
          <w:color w:val="auto"/>
          <w:sz w:val="24"/>
          <w:lang w:eastAsia="zh-CN"/>
        </w:rPr>
        <w:t>，</w:t>
      </w:r>
      <w:r>
        <w:rPr>
          <w:rFonts w:hint="eastAsia" w:ascii="宋体" w:hAnsi="宋体" w:eastAsia="宋体" w:cs="宋体"/>
          <w:color w:val="auto"/>
          <w:sz w:val="24"/>
        </w:rPr>
        <w:t>或者持有的行政许可证明、资质证书、强制性认证证书等已经过期失效但申请未获批准；</w:t>
      </w:r>
    </w:p>
    <w:p w14:paraId="71532777">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lang w:eastAsia="zh-CN"/>
        </w:rPr>
        <w:t>.</w:t>
      </w:r>
      <w:r>
        <w:rPr>
          <w:rFonts w:hint="eastAsia" w:ascii="宋体" w:hAnsi="宋体" w:eastAsia="宋体" w:cs="宋体"/>
          <w:color w:val="auto"/>
          <w:sz w:val="24"/>
        </w:rPr>
        <w:t>甲方在暂停认证证书的限期内未能对导致暂停的问题实施有效地纠正加以解决；</w:t>
      </w:r>
    </w:p>
    <w:p w14:paraId="4FEA1A5C">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lang w:eastAsia="zh-CN"/>
        </w:rPr>
        <w:t>.</w:t>
      </w:r>
      <w:r>
        <w:rPr>
          <w:rFonts w:hint="eastAsia" w:ascii="宋体" w:hAnsi="宋体" w:eastAsia="宋体" w:cs="宋体"/>
          <w:color w:val="auto"/>
          <w:sz w:val="24"/>
        </w:rPr>
        <w:t>未按规定及时</w:t>
      </w:r>
      <w:r>
        <w:rPr>
          <w:rFonts w:hint="eastAsia" w:ascii="宋体" w:hAnsi="宋体" w:cs="宋体"/>
          <w:color w:val="auto"/>
          <w:sz w:val="24"/>
          <w:lang w:eastAsia="zh-CN"/>
        </w:rPr>
        <w:t>缴纳</w:t>
      </w:r>
      <w:r>
        <w:rPr>
          <w:rFonts w:hint="eastAsia" w:ascii="宋体" w:hAnsi="宋体" w:eastAsia="宋体" w:cs="宋体"/>
          <w:color w:val="auto"/>
          <w:sz w:val="24"/>
        </w:rPr>
        <w:t>有关认证费用；</w:t>
      </w:r>
    </w:p>
    <w:p w14:paraId="1D69C76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未按相关规定正确引用和宣传获得的认证信息</w:t>
      </w:r>
      <w:r>
        <w:rPr>
          <w:rFonts w:hint="eastAsia" w:ascii="宋体" w:hAnsi="宋体" w:cs="宋体"/>
          <w:color w:val="auto"/>
          <w:sz w:val="24"/>
          <w:lang w:eastAsia="zh-CN"/>
        </w:rPr>
        <w:t>，</w:t>
      </w:r>
      <w:r>
        <w:rPr>
          <w:rFonts w:hint="eastAsia" w:ascii="宋体" w:hAnsi="宋体" w:eastAsia="宋体" w:cs="宋体"/>
          <w:color w:val="auto"/>
          <w:sz w:val="24"/>
        </w:rPr>
        <w:t>造成严重影响或后果；或者乙方已要求其纠正但超过2个月仍未纠正的；</w:t>
      </w:r>
    </w:p>
    <w:p w14:paraId="398BCE7A">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经行政监管部门确认因获证组织违规而造成产品和服务等重大质量安全事故</w:t>
      </w:r>
      <w:r>
        <w:rPr>
          <w:rFonts w:hint="eastAsia" w:ascii="宋体" w:hAnsi="宋体" w:eastAsia="宋体" w:cs="宋体"/>
          <w:color w:val="auto"/>
          <w:sz w:val="24"/>
        </w:rPr>
        <w:t>；</w:t>
      </w:r>
    </w:p>
    <w:p w14:paraId="78706395">
      <w:pPr>
        <w:spacing w:line="42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13.获证客户</w:t>
      </w:r>
      <w:r>
        <w:rPr>
          <w:rFonts w:hint="default" w:ascii="宋体" w:hAnsi="宋体" w:cs="宋体"/>
          <w:color w:val="auto"/>
          <w:sz w:val="24"/>
          <w:lang w:val="en-US" w:eastAsia="zh-CN"/>
        </w:rPr>
        <w:t>发生了与能源有关的重大事故，反映出</w:t>
      </w:r>
      <w:r>
        <w:rPr>
          <w:rFonts w:hint="eastAsia" w:ascii="宋体" w:hAnsi="宋体" w:cs="宋体"/>
          <w:color w:val="auto"/>
          <w:sz w:val="24"/>
          <w:lang w:val="en-US" w:eastAsia="zh-CN"/>
        </w:rPr>
        <w:t>客户</w:t>
      </w:r>
      <w:r>
        <w:rPr>
          <w:rFonts w:hint="default" w:ascii="宋体" w:hAnsi="宋体" w:cs="宋体"/>
          <w:color w:val="auto"/>
          <w:sz w:val="24"/>
          <w:lang w:val="en-US" w:eastAsia="zh-CN"/>
        </w:rPr>
        <w:t>的能源管理体系建立及运行存在重大缺陷的</w:t>
      </w:r>
      <w:r>
        <w:rPr>
          <w:rFonts w:hint="eastAsia" w:ascii="宋体" w:hAnsi="宋体" w:cs="宋体"/>
          <w:color w:val="auto"/>
          <w:sz w:val="24"/>
          <w:lang w:val="en-US" w:eastAsia="zh-CN"/>
        </w:rPr>
        <w:t>（能源管理体系适用）</w:t>
      </w:r>
      <w:r>
        <w:rPr>
          <w:rFonts w:hint="default" w:ascii="宋体" w:hAnsi="宋体" w:cs="宋体"/>
          <w:color w:val="auto"/>
          <w:sz w:val="24"/>
          <w:lang w:val="en-US" w:eastAsia="zh-CN"/>
        </w:rPr>
        <w:t>；</w:t>
      </w:r>
    </w:p>
    <w:p w14:paraId="7A83C9A0">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14.组织存在其它严重影响能源管理体系运行的严重不符合，不能在乙方规定的时间内及时采取有效的纠正措施的。（能源管理体系适用）</w:t>
      </w:r>
    </w:p>
    <w:p w14:paraId="564BBEB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eastAsia="宋体" w:cs="宋体"/>
          <w:color w:val="auto"/>
          <w:sz w:val="24"/>
        </w:rPr>
        <w:t>因政策或法规调整</w:t>
      </w:r>
      <w:r>
        <w:rPr>
          <w:rFonts w:hint="eastAsia" w:ascii="宋体" w:hAnsi="宋体" w:cs="宋体"/>
          <w:color w:val="auto"/>
          <w:sz w:val="24"/>
          <w:lang w:eastAsia="zh-CN"/>
        </w:rPr>
        <w:t>，</w:t>
      </w:r>
      <w:r>
        <w:rPr>
          <w:rFonts w:hint="eastAsia" w:ascii="宋体" w:hAnsi="宋体" w:eastAsia="宋体" w:cs="宋体"/>
          <w:color w:val="auto"/>
          <w:sz w:val="24"/>
        </w:rPr>
        <w:t>证书所属认证领域不再适宜认证活动的。</w:t>
      </w:r>
    </w:p>
    <w:p w14:paraId="4A72746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eastAsia="宋体" w:cs="宋体"/>
          <w:color w:val="auto"/>
          <w:sz w:val="24"/>
        </w:rPr>
        <w:t>其他应当撤销认证证书的情况。</w:t>
      </w:r>
    </w:p>
    <w:p w14:paraId="268978B8">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十</w:t>
      </w:r>
      <w:r>
        <w:rPr>
          <w:rFonts w:hint="eastAsia" w:ascii="宋体" w:hAnsi="宋体" w:cs="宋体"/>
          <w:color w:val="auto"/>
          <w:sz w:val="24"/>
          <w:lang w:val="en-US" w:eastAsia="zh-CN"/>
        </w:rPr>
        <w:t>五</w:t>
      </w:r>
      <w:r>
        <w:rPr>
          <w:rFonts w:hint="eastAsia" w:ascii="宋体" w:hAnsi="宋体" w:eastAsia="宋体" w:cs="宋体"/>
          <w:color w:val="auto"/>
          <w:sz w:val="24"/>
          <w:lang w:val="en-US" w:eastAsia="zh-Hans"/>
        </w:rPr>
        <w:t>、</w:t>
      </w:r>
      <w:r>
        <w:rPr>
          <w:rFonts w:hint="eastAsia" w:ascii="宋体" w:hAnsi="宋体" w:eastAsia="宋体" w:cs="宋体"/>
          <w:color w:val="auto"/>
          <w:sz w:val="24"/>
        </w:rPr>
        <w:t>乙方未经甲方同意</w:t>
      </w:r>
      <w:r>
        <w:rPr>
          <w:rFonts w:hint="eastAsia" w:ascii="宋体" w:hAnsi="宋体" w:cs="宋体"/>
          <w:color w:val="auto"/>
          <w:sz w:val="24"/>
          <w:lang w:eastAsia="zh-CN"/>
        </w:rPr>
        <w:t>，</w:t>
      </w:r>
      <w:r>
        <w:rPr>
          <w:rFonts w:hint="eastAsia" w:ascii="宋体" w:hAnsi="宋体" w:eastAsia="宋体" w:cs="宋体"/>
          <w:color w:val="auto"/>
          <w:sz w:val="24"/>
        </w:rPr>
        <w:t>不得将甲方经营、生产状况及技术信息以任何方式泄漏给第三方</w:t>
      </w:r>
      <w:r>
        <w:rPr>
          <w:rFonts w:hint="eastAsia" w:ascii="宋体" w:hAnsi="宋体" w:cs="宋体"/>
          <w:color w:val="auto"/>
          <w:sz w:val="24"/>
          <w:lang w:eastAsia="zh-CN"/>
        </w:rPr>
        <w:t>，</w:t>
      </w:r>
      <w:r>
        <w:rPr>
          <w:rFonts w:hint="eastAsia" w:ascii="宋体" w:hAnsi="宋体" w:eastAsia="宋体" w:cs="宋体"/>
          <w:color w:val="auto"/>
          <w:sz w:val="24"/>
        </w:rPr>
        <w:t>但下列情况除外：</w:t>
      </w:r>
    </w:p>
    <w:p w14:paraId="75BE2D1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1）甲方已公开或者通过公开途径可以获知的资料；</w:t>
      </w:r>
    </w:p>
    <w:p w14:paraId="2ECF534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2）国家法律、法规及行政司法部门有要求时。</w:t>
      </w:r>
    </w:p>
    <w:p w14:paraId="72AC81D3">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十</w:t>
      </w:r>
      <w:r>
        <w:rPr>
          <w:rFonts w:hint="eastAsia" w:ascii="宋体" w:hAnsi="宋体" w:cs="宋体"/>
          <w:color w:val="auto"/>
          <w:sz w:val="24"/>
          <w:lang w:val="en-US" w:eastAsia="zh-CN"/>
        </w:rPr>
        <w:t>六</w:t>
      </w:r>
      <w:r>
        <w:rPr>
          <w:rFonts w:hint="eastAsia" w:ascii="宋体" w:hAnsi="宋体" w:eastAsia="宋体" w:cs="宋体"/>
          <w:color w:val="auto"/>
          <w:sz w:val="24"/>
          <w:lang w:val="en-US" w:eastAsia="zh-Hans"/>
        </w:rPr>
        <w:t>、</w:t>
      </w:r>
      <w:r>
        <w:rPr>
          <w:rFonts w:hint="eastAsia" w:ascii="宋体" w:hAnsi="宋体" w:eastAsia="宋体" w:cs="宋体"/>
          <w:color w:val="auto"/>
          <w:sz w:val="24"/>
        </w:rPr>
        <w:t>经合同双方协商一致</w:t>
      </w:r>
      <w:r>
        <w:rPr>
          <w:rFonts w:hint="eastAsia" w:ascii="宋体" w:hAnsi="宋体" w:cs="宋体"/>
          <w:color w:val="auto"/>
          <w:sz w:val="24"/>
          <w:lang w:eastAsia="zh-CN"/>
        </w:rPr>
        <w:t>，</w:t>
      </w:r>
      <w:r>
        <w:rPr>
          <w:rFonts w:hint="eastAsia" w:ascii="宋体" w:hAnsi="宋体" w:eastAsia="宋体" w:cs="宋体"/>
          <w:color w:val="auto"/>
          <w:sz w:val="24"/>
        </w:rPr>
        <w:t>可以变更或解除合同</w:t>
      </w:r>
      <w:r>
        <w:rPr>
          <w:rFonts w:hint="eastAsia" w:ascii="宋体" w:hAnsi="宋体" w:cs="宋体"/>
          <w:color w:val="auto"/>
          <w:sz w:val="24"/>
          <w:lang w:eastAsia="zh-CN"/>
        </w:rPr>
        <w:t>，</w:t>
      </w:r>
      <w:r>
        <w:rPr>
          <w:rFonts w:hint="eastAsia" w:ascii="宋体" w:hAnsi="宋体" w:eastAsia="宋体" w:cs="宋体"/>
          <w:color w:val="auto"/>
          <w:sz w:val="24"/>
        </w:rPr>
        <w:t>变更或解除本合同应签订书面合同。</w:t>
      </w:r>
    </w:p>
    <w:p w14:paraId="764FD23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十</w:t>
      </w:r>
      <w:r>
        <w:rPr>
          <w:rFonts w:hint="eastAsia" w:ascii="宋体" w:hAnsi="宋体" w:cs="宋体"/>
          <w:color w:val="auto"/>
          <w:sz w:val="24"/>
          <w:lang w:val="en-US" w:eastAsia="zh-CN"/>
        </w:rPr>
        <w:t>七</w:t>
      </w:r>
      <w:r>
        <w:rPr>
          <w:rFonts w:hint="eastAsia" w:ascii="宋体" w:hAnsi="宋体" w:eastAsia="宋体" w:cs="宋体"/>
          <w:color w:val="auto"/>
          <w:sz w:val="24"/>
          <w:lang w:val="en-US" w:eastAsia="zh-Hans"/>
        </w:rPr>
        <w:t>、</w:t>
      </w:r>
      <w:r>
        <w:rPr>
          <w:rFonts w:hint="eastAsia" w:ascii="宋体" w:hAnsi="宋体" w:eastAsia="宋体" w:cs="宋体"/>
          <w:color w:val="auto"/>
          <w:sz w:val="24"/>
        </w:rPr>
        <w:t>乙方将通过现场审核收集客观证据进行判定</w:t>
      </w:r>
      <w:r>
        <w:rPr>
          <w:rFonts w:hint="eastAsia" w:ascii="宋体" w:hAnsi="宋体" w:cs="宋体"/>
          <w:color w:val="auto"/>
          <w:sz w:val="24"/>
          <w:lang w:eastAsia="zh-CN"/>
        </w:rPr>
        <w:t>，</w:t>
      </w:r>
      <w:r>
        <w:rPr>
          <w:rFonts w:hint="eastAsia" w:ascii="宋体" w:hAnsi="宋体" w:eastAsia="宋体" w:cs="宋体"/>
          <w:color w:val="auto"/>
          <w:sz w:val="24"/>
        </w:rPr>
        <w:t>如因甲方未按管理体系运行或因甲方过失造成自身的损失乙方不予负责。甲方仍应支付已发生的费用。</w:t>
      </w:r>
    </w:p>
    <w:p w14:paraId="38D4999D">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十</w:t>
      </w:r>
      <w:r>
        <w:rPr>
          <w:rFonts w:hint="eastAsia" w:ascii="宋体" w:hAnsi="宋体" w:cs="宋体"/>
          <w:color w:val="auto"/>
          <w:sz w:val="24"/>
          <w:lang w:val="en-US" w:eastAsia="zh-CN"/>
        </w:rPr>
        <w:t>八</w:t>
      </w:r>
      <w:r>
        <w:rPr>
          <w:rFonts w:hint="eastAsia" w:ascii="宋体" w:hAnsi="宋体" w:eastAsia="宋体" w:cs="宋体"/>
          <w:color w:val="auto"/>
          <w:sz w:val="24"/>
          <w:lang w:val="en-US" w:eastAsia="zh-Hans"/>
        </w:rPr>
        <w:t>、</w:t>
      </w:r>
      <w:r>
        <w:rPr>
          <w:rFonts w:hint="eastAsia" w:ascii="宋体" w:hAnsi="宋体" w:eastAsia="宋体" w:cs="宋体"/>
          <w:color w:val="auto"/>
          <w:sz w:val="24"/>
        </w:rPr>
        <w:t>双方因不可抗力造成的合同延迟或失败</w:t>
      </w:r>
      <w:r>
        <w:rPr>
          <w:rFonts w:hint="eastAsia" w:ascii="宋体" w:hAnsi="宋体" w:cs="宋体"/>
          <w:color w:val="auto"/>
          <w:sz w:val="24"/>
          <w:lang w:eastAsia="zh-CN"/>
        </w:rPr>
        <w:t>，</w:t>
      </w:r>
      <w:r>
        <w:rPr>
          <w:rFonts w:hint="eastAsia" w:ascii="宋体" w:hAnsi="宋体" w:eastAsia="宋体" w:cs="宋体"/>
          <w:color w:val="auto"/>
          <w:sz w:val="24"/>
        </w:rPr>
        <w:t>免除赔偿责任</w:t>
      </w:r>
      <w:r>
        <w:rPr>
          <w:rFonts w:hint="eastAsia" w:ascii="宋体" w:hAnsi="宋体" w:cs="宋体"/>
          <w:color w:val="auto"/>
          <w:sz w:val="24"/>
          <w:lang w:eastAsia="zh-CN"/>
        </w:rPr>
        <w:t>，</w:t>
      </w:r>
      <w:r>
        <w:rPr>
          <w:rFonts w:hint="eastAsia" w:ascii="宋体" w:hAnsi="宋体" w:eastAsia="宋体" w:cs="宋体"/>
          <w:color w:val="auto"/>
          <w:sz w:val="24"/>
        </w:rPr>
        <w:t>包括但不限于战争、天灾、火灾、爆炸、劳工争议、国家政策或法规调整等</w:t>
      </w:r>
      <w:r>
        <w:rPr>
          <w:rFonts w:hint="eastAsia" w:ascii="宋体" w:hAnsi="宋体" w:cs="宋体"/>
          <w:color w:val="auto"/>
          <w:sz w:val="24"/>
          <w:lang w:eastAsia="zh-CN"/>
        </w:rPr>
        <w:t>，</w:t>
      </w:r>
      <w:r>
        <w:rPr>
          <w:rFonts w:hint="eastAsia" w:ascii="宋体" w:hAnsi="宋体" w:eastAsia="宋体" w:cs="宋体"/>
          <w:color w:val="auto"/>
          <w:sz w:val="24"/>
        </w:rPr>
        <w:t>受到影响的一方应立即书面通知另一方。</w:t>
      </w:r>
    </w:p>
    <w:p w14:paraId="54BC1FBF">
      <w:pPr>
        <w:spacing w:line="42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十九</w:t>
      </w:r>
      <w:r>
        <w:rPr>
          <w:rFonts w:hint="eastAsia" w:ascii="宋体" w:hAnsi="宋体" w:eastAsia="宋体" w:cs="宋体"/>
          <w:color w:val="auto"/>
          <w:sz w:val="24"/>
          <w:lang w:val="en-US" w:eastAsia="zh-Hans"/>
        </w:rPr>
        <w:t>、</w:t>
      </w:r>
      <w:r>
        <w:rPr>
          <w:rFonts w:hint="eastAsia" w:ascii="宋体" w:hAnsi="宋体" w:eastAsia="宋体" w:cs="宋体"/>
          <w:color w:val="auto"/>
          <w:sz w:val="24"/>
        </w:rPr>
        <w:t>在本合同实施中发生的争议</w:t>
      </w:r>
      <w:r>
        <w:rPr>
          <w:rFonts w:hint="eastAsia" w:ascii="宋体" w:hAnsi="宋体" w:cs="宋体"/>
          <w:color w:val="auto"/>
          <w:sz w:val="24"/>
          <w:lang w:eastAsia="zh-CN"/>
        </w:rPr>
        <w:t>，</w:t>
      </w:r>
      <w:r>
        <w:rPr>
          <w:rFonts w:hint="eastAsia" w:ascii="宋体" w:hAnsi="宋体" w:eastAsia="宋体" w:cs="宋体"/>
          <w:color w:val="auto"/>
          <w:sz w:val="24"/>
        </w:rPr>
        <w:t>应本着友好协商的原则加以解决</w:t>
      </w:r>
      <w:r>
        <w:rPr>
          <w:rFonts w:hint="eastAsia" w:ascii="宋体" w:hAnsi="宋体" w:cs="宋体"/>
          <w:color w:val="auto"/>
          <w:sz w:val="24"/>
          <w:lang w:eastAsia="zh-CN"/>
        </w:rPr>
        <w:t>，</w:t>
      </w:r>
      <w:r>
        <w:rPr>
          <w:rFonts w:hint="eastAsia" w:ascii="宋体" w:hAnsi="宋体" w:eastAsia="宋体" w:cs="宋体"/>
          <w:color w:val="auto"/>
          <w:sz w:val="24"/>
        </w:rPr>
        <w:t>若协商不成</w:t>
      </w:r>
      <w:r>
        <w:rPr>
          <w:rFonts w:hint="eastAsia" w:ascii="宋体" w:hAnsi="宋体" w:cs="宋体"/>
          <w:color w:val="auto"/>
          <w:sz w:val="24"/>
          <w:lang w:eastAsia="zh-CN"/>
        </w:rPr>
        <w:t>，</w:t>
      </w:r>
      <w:r>
        <w:rPr>
          <w:rFonts w:hint="eastAsia" w:ascii="宋体" w:hAnsi="宋体" w:eastAsia="宋体" w:cs="宋体"/>
          <w:color w:val="auto"/>
          <w:sz w:val="24"/>
        </w:rPr>
        <w:t>可通过以下第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种途径解决：</w:t>
      </w:r>
    </w:p>
    <w:p w14:paraId="7E43B7C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eastAsia="zh-CN"/>
        </w:rPr>
        <w:t>.</w:t>
      </w:r>
      <w:r>
        <w:rPr>
          <w:rFonts w:hint="eastAsia" w:ascii="宋体" w:hAnsi="宋体" w:eastAsia="宋体" w:cs="宋体"/>
          <w:color w:val="auto"/>
          <w:sz w:val="24"/>
        </w:rPr>
        <w:t>向乙方所在地人民法院提起诉讼；</w:t>
      </w:r>
    </w:p>
    <w:p w14:paraId="35E6B32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w:t>
      </w:r>
      <w:r>
        <w:rPr>
          <w:rFonts w:hint="eastAsia" w:ascii="宋体" w:hAnsi="宋体" w:eastAsia="宋体" w:cs="宋体"/>
          <w:color w:val="auto"/>
          <w:sz w:val="24"/>
        </w:rPr>
        <w:t>向双方认可的</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仲裁委员会提交仲裁</w:t>
      </w:r>
      <w:r>
        <w:rPr>
          <w:rFonts w:hint="eastAsia" w:ascii="宋体" w:hAnsi="宋体" w:cs="宋体"/>
          <w:color w:val="auto"/>
          <w:sz w:val="24"/>
          <w:lang w:eastAsia="zh-CN"/>
        </w:rPr>
        <w:t>，</w:t>
      </w:r>
      <w:r>
        <w:rPr>
          <w:rFonts w:hint="eastAsia" w:ascii="宋体" w:hAnsi="宋体" w:eastAsia="宋体" w:cs="宋体"/>
          <w:color w:val="auto"/>
          <w:sz w:val="24"/>
        </w:rPr>
        <w:t>仲裁费用由仲裁结果确定。</w:t>
      </w:r>
    </w:p>
    <w:p w14:paraId="6B7506AD">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二十、</w:t>
      </w:r>
      <w:r>
        <w:rPr>
          <w:rFonts w:hint="eastAsia" w:ascii="宋体" w:hAnsi="宋体" w:eastAsia="宋体" w:cs="宋体"/>
          <w:color w:val="auto"/>
          <w:sz w:val="24"/>
        </w:rPr>
        <w:t>本合同由甲乙双方授权代表签字并加盖双方单位公章后生效</w:t>
      </w:r>
      <w:r>
        <w:rPr>
          <w:rFonts w:hint="eastAsia" w:ascii="宋体" w:hAnsi="宋体" w:cs="宋体"/>
          <w:color w:val="auto"/>
          <w:sz w:val="24"/>
          <w:lang w:eastAsia="zh-CN"/>
        </w:rPr>
        <w:t>，</w:t>
      </w:r>
      <w:r>
        <w:rPr>
          <w:rFonts w:hint="eastAsia" w:ascii="宋体" w:hAnsi="宋体" w:eastAsia="宋体" w:cs="宋体"/>
          <w:color w:val="auto"/>
          <w:sz w:val="24"/>
          <w:lang w:val="en-US" w:eastAsia="zh-Hans"/>
        </w:rPr>
        <w:t>本合同自签定之日起至获证后三年为一个有效期满</w:t>
      </w:r>
      <w:r>
        <w:rPr>
          <w:rFonts w:hint="eastAsia" w:ascii="宋体" w:hAnsi="宋体" w:eastAsia="宋体" w:cs="宋体"/>
          <w:color w:val="auto"/>
          <w:sz w:val="24"/>
        </w:rPr>
        <w:t>。证书有效期到期前乙方将为甲方实施再认证</w:t>
      </w:r>
      <w:r>
        <w:rPr>
          <w:rFonts w:hint="eastAsia" w:ascii="宋体" w:hAnsi="宋体" w:cs="宋体"/>
          <w:color w:val="auto"/>
          <w:sz w:val="24"/>
          <w:lang w:eastAsia="zh-CN"/>
        </w:rPr>
        <w:t>，</w:t>
      </w:r>
      <w:r>
        <w:rPr>
          <w:rFonts w:hint="eastAsia" w:ascii="宋体" w:hAnsi="宋体" w:eastAsia="宋体" w:cs="宋体"/>
          <w:color w:val="auto"/>
          <w:sz w:val="24"/>
          <w:lang w:val="en-US" w:eastAsia="zh-Hans"/>
        </w:rPr>
        <w:t>到期双方未提出异议</w:t>
      </w:r>
      <w:r>
        <w:rPr>
          <w:rFonts w:hint="eastAsia" w:ascii="宋体" w:hAnsi="宋体" w:cs="宋体"/>
          <w:color w:val="auto"/>
          <w:sz w:val="24"/>
          <w:lang w:val="en-US" w:eastAsia="zh-CN"/>
        </w:rPr>
        <w:t>，</w:t>
      </w:r>
      <w:r>
        <w:rPr>
          <w:rFonts w:hint="eastAsia" w:ascii="宋体" w:hAnsi="宋体" w:eastAsia="宋体" w:cs="宋体"/>
          <w:color w:val="auto"/>
          <w:sz w:val="24"/>
          <w:lang w:val="en-US" w:eastAsia="zh-Hans"/>
        </w:rPr>
        <w:t>本合同自动延续</w:t>
      </w:r>
      <w:r>
        <w:rPr>
          <w:rFonts w:hint="eastAsia" w:ascii="宋体" w:hAnsi="宋体" w:cs="宋体"/>
          <w:color w:val="auto"/>
          <w:sz w:val="24"/>
          <w:lang w:eastAsia="zh-CN"/>
        </w:rPr>
        <w:t>，</w:t>
      </w:r>
      <w:r>
        <w:rPr>
          <w:rFonts w:hint="eastAsia" w:ascii="宋体" w:hAnsi="宋体" w:eastAsia="宋体" w:cs="宋体"/>
          <w:color w:val="auto"/>
          <w:sz w:val="24"/>
          <w:lang w:val="en-US" w:eastAsia="zh-Hans"/>
        </w:rPr>
        <w:t>如有异议</w:t>
      </w:r>
      <w:r>
        <w:rPr>
          <w:rFonts w:hint="eastAsia" w:ascii="宋体" w:hAnsi="宋体" w:cs="宋体"/>
          <w:color w:val="auto"/>
          <w:sz w:val="24"/>
          <w:lang w:val="en-US" w:eastAsia="zh-CN"/>
        </w:rPr>
        <w:t>，</w:t>
      </w:r>
      <w:r>
        <w:rPr>
          <w:rFonts w:hint="eastAsia" w:ascii="宋体" w:hAnsi="宋体" w:eastAsia="宋体" w:cs="宋体"/>
          <w:color w:val="auto"/>
          <w:sz w:val="24"/>
          <w:lang w:val="en-US" w:eastAsia="zh-Hans"/>
        </w:rPr>
        <w:t>重新签订合同</w:t>
      </w:r>
      <w:r>
        <w:rPr>
          <w:rFonts w:hint="eastAsia" w:ascii="宋体" w:hAnsi="宋体" w:eastAsia="宋体" w:cs="宋体"/>
          <w:color w:val="auto"/>
          <w:sz w:val="24"/>
        </w:rPr>
        <w:t>。</w:t>
      </w:r>
    </w:p>
    <w:p w14:paraId="6AA42B4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二十</w:t>
      </w:r>
      <w:r>
        <w:rPr>
          <w:rFonts w:hint="eastAsia" w:ascii="宋体" w:hAnsi="宋体" w:cs="宋体"/>
          <w:color w:val="auto"/>
          <w:sz w:val="24"/>
          <w:lang w:val="en-US" w:eastAsia="zh-CN"/>
        </w:rPr>
        <w:t>一</w:t>
      </w:r>
      <w:r>
        <w:rPr>
          <w:rFonts w:hint="eastAsia" w:ascii="宋体" w:hAnsi="宋体" w:eastAsia="宋体" w:cs="宋体"/>
          <w:color w:val="auto"/>
          <w:sz w:val="24"/>
          <w:lang w:val="en-US" w:eastAsia="zh-Hans"/>
        </w:rPr>
        <w:t>、</w:t>
      </w:r>
      <w:r>
        <w:rPr>
          <w:rFonts w:hint="eastAsia" w:ascii="宋体" w:hAnsi="宋体" w:eastAsia="宋体" w:cs="宋体"/>
          <w:color w:val="auto"/>
          <w:sz w:val="24"/>
        </w:rPr>
        <w:t>本合同未尽事宜</w:t>
      </w:r>
      <w:r>
        <w:rPr>
          <w:rFonts w:hint="eastAsia" w:ascii="宋体" w:hAnsi="宋体" w:cs="宋体"/>
          <w:color w:val="auto"/>
          <w:sz w:val="24"/>
          <w:lang w:eastAsia="zh-CN"/>
        </w:rPr>
        <w:t>，</w:t>
      </w:r>
      <w:r>
        <w:rPr>
          <w:rFonts w:hint="eastAsia" w:ascii="宋体" w:hAnsi="宋体" w:eastAsia="宋体" w:cs="宋体"/>
          <w:color w:val="auto"/>
          <w:sz w:val="24"/>
        </w:rPr>
        <w:t>双方同意通过补充协议予以规定</w:t>
      </w:r>
      <w:r>
        <w:rPr>
          <w:rFonts w:hint="eastAsia" w:ascii="宋体" w:hAnsi="宋体" w:cs="宋体"/>
          <w:color w:val="auto"/>
          <w:sz w:val="24"/>
          <w:lang w:eastAsia="zh-CN"/>
        </w:rPr>
        <w:t>，</w:t>
      </w:r>
      <w:r>
        <w:rPr>
          <w:rFonts w:hint="eastAsia" w:ascii="宋体" w:hAnsi="宋体" w:eastAsia="宋体" w:cs="宋体"/>
          <w:color w:val="auto"/>
          <w:sz w:val="24"/>
        </w:rPr>
        <w:t>补充协议与本合同具有同等效力。补充协议与本合同约定不一致的</w:t>
      </w:r>
      <w:r>
        <w:rPr>
          <w:rFonts w:hint="eastAsia" w:ascii="宋体" w:hAnsi="宋体" w:cs="宋体"/>
          <w:color w:val="auto"/>
          <w:sz w:val="24"/>
          <w:lang w:eastAsia="zh-CN"/>
        </w:rPr>
        <w:t>，</w:t>
      </w:r>
      <w:r>
        <w:rPr>
          <w:rFonts w:hint="eastAsia" w:ascii="宋体" w:hAnsi="宋体" w:eastAsia="宋体" w:cs="宋体"/>
          <w:color w:val="auto"/>
          <w:sz w:val="24"/>
        </w:rPr>
        <w:t>以补充协议为准。</w:t>
      </w:r>
    </w:p>
    <w:p w14:paraId="3AD47B3A">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Hans"/>
        </w:rPr>
        <w:t>二十</w:t>
      </w:r>
      <w:r>
        <w:rPr>
          <w:rFonts w:hint="eastAsia" w:ascii="宋体" w:hAnsi="宋体" w:cs="宋体"/>
          <w:color w:val="auto"/>
          <w:sz w:val="24"/>
          <w:lang w:val="en-US" w:eastAsia="zh-CN"/>
        </w:rPr>
        <w:t>二</w:t>
      </w:r>
      <w:r>
        <w:rPr>
          <w:rFonts w:hint="eastAsia" w:ascii="宋体" w:hAnsi="宋体" w:eastAsia="宋体" w:cs="宋体"/>
          <w:color w:val="auto"/>
          <w:sz w:val="24"/>
          <w:lang w:val="en-US" w:eastAsia="zh-Hans"/>
        </w:rPr>
        <w:t>、</w:t>
      </w:r>
      <w:r>
        <w:rPr>
          <w:rFonts w:hint="eastAsia" w:ascii="宋体" w:hAnsi="宋体" w:eastAsia="宋体" w:cs="宋体"/>
          <w:color w:val="auto"/>
          <w:sz w:val="24"/>
        </w:rPr>
        <w:t>本合同一式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r>
        <w:rPr>
          <w:rFonts w:hint="eastAsia" w:ascii="宋体" w:hAnsi="宋体" w:cs="宋体"/>
          <w:color w:val="auto"/>
          <w:sz w:val="24"/>
          <w:lang w:eastAsia="zh-CN"/>
        </w:rPr>
        <w:t>，</w:t>
      </w:r>
      <w:r>
        <w:rPr>
          <w:rFonts w:hint="eastAsia" w:ascii="宋体" w:hAnsi="宋体" w:eastAsia="宋体" w:cs="宋体"/>
          <w:color w:val="auto"/>
          <w:sz w:val="24"/>
        </w:rPr>
        <w:t>甲方</w:t>
      </w:r>
      <w:r>
        <w:rPr>
          <w:rFonts w:hint="eastAsia" w:ascii="宋体" w:hAnsi="宋体" w:eastAsia="宋体" w:cs="宋体"/>
          <w:color w:val="auto"/>
          <w:sz w:val="24"/>
          <w:u w:val="single"/>
        </w:rPr>
        <w:t xml:space="preserve">    </w:t>
      </w:r>
      <w:r>
        <w:rPr>
          <w:rFonts w:hint="eastAsia" w:ascii="宋体" w:hAnsi="宋体" w:eastAsia="宋体" w:cs="宋体"/>
          <w:color w:val="auto"/>
          <w:sz w:val="24"/>
        </w:rPr>
        <w:t>份、乙方</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r>
        <w:rPr>
          <w:rFonts w:hint="eastAsia" w:ascii="宋体" w:hAnsi="宋体" w:cs="宋体"/>
          <w:color w:val="auto"/>
          <w:sz w:val="24"/>
          <w:lang w:eastAsia="zh-CN"/>
        </w:rPr>
        <w:t>，</w:t>
      </w:r>
      <w:r>
        <w:rPr>
          <w:rFonts w:hint="eastAsia" w:ascii="宋体" w:hAnsi="宋体" w:eastAsia="宋体" w:cs="宋体"/>
          <w:color w:val="auto"/>
          <w:sz w:val="24"/>
        </w:rPr>
        <w:t>均具有同等法律效力。</w:t>
      </w:r>
    </w:p>
    <w:p w14:paraId="38282FAF">
      <w:pPr>
        <w:spacing w:line="420" w:lineRule="exact"/>
        <w:rPr>
          <w:rFonts w:hint="eastAsia"/>
          <w:color w:val="auto"/>
          <w:sz w:val="24"/>
        </w:rPr>
      </w:pPr>
      <w:r>
        <w:rPr>
          <w:rFonts w:hint="eastAsia" w:ascii="宋体" w:hAnsi="宋体" w:eastAsia="宋体" w:cs="宋体"/>
          <w:color w:val="auto"/>
          <w:sz w:val="24"/>
        </w:rPr>
        <w:t xml:space="preserve">                 </w:t>
      </w:r>
    </w:p>
    <w:tbl>
      <w:tblPr>
        <w:tblStyle w:val="4"/>
        <w:tblW w:w="10491" w:type="dxa"/>
        <w:tblInd w:w="108" w:type="dxa"/>
        <w:tblLayout w:type="fixed"/>
        <w:tblCellMar>
          <w:top w:w="0" w:type="dxa"/>
          <w:left w:w="108" w:type="dxa"/>
          <w:bottom w:w="0" w:type="dxa"/>
          <w:right w:w="108" w:type="dxa"/>
        </w:tblCellMar>
      </w:tblPr>
      <w:tblGrid>
        <w:gridCol w:w="4725"/>
        <w:gridCol w:w="5766"/>
      </w:tblGrid>
      <w:tr w14:paraId="4BF32B68">
        <w:tblPrEx>
          <w:tblCellMar>
            <w:top w:w="0" w:type="dxa"/>
            <w:left w:w="108" w:type="dxa"/>
            <w:bottom w:w="0" w:type="dxa"/>
            <w:right w:w="108" w:type="dxa"/>
          </w:tblCellMar>
        </w:tblPrEx>
        <w:tc>
          <w:tcPr>
            <w:tcW w:w="4725" w:type="dxa"/>
            <w:noWrap w:val="0"/>
            <w:vAlign w:val="top"/>
          </w:tcPr>
          <w:p w14:paraId="3EECEEAF">
            <w:pPr>
              <w:spacing w:line="420" w:lineRule="exact"/>
              <w:rPr>
                <w:rFonts w:hint="eastAsia" w:ascii="黑体" w:hAnsi="黑体" w:eastAsia="黑体" w:cs="黑体"/>
                <w:color w:val="auto"/>
                <w:sz w:val="24"/>
              </w:rPr>
            </w:pPr>
            <w:r>
              <w:rPr>
                <w:rFonts w:hint="eastAsia" w:ascii="黑体" w:hAnsi="黑体" w:eastAsia="黑体" w:cs="黑体"/>
                <w:color w:val="auto"/>
                <w:sz w:val="24"/>
              </w:rPr>
              <w:t>甲方（盖章）</w:t>
            </w:r>
          </w:p>
          <w:p w14:paraId="5CD3FD6F">
            <w:pPr>
              <w:spacing w:line="420" w:lineRule="exact"/>
              <w:rPr>
                <w:rFonts w:hint="eastAsia" w:ascii="黑体" w:hAnsi="黑体" w:eastAsia="黑体" w:cs="黑体"/>
                <w:color w:val="auto"/>
                <w:sz w:val="24"/>
              </w:rPr>
            </w:pPr>
            <w:r>
              <w:rPr>
                <w:rFonts w:hint="eastAsia" w:ascii="黑体" w:hAnsi="黑体" w:eastAsia="黑体" w:cs="黑体"/>
                <w:color w:val="auto"/>
                <w:sz w:val="24"/>
              </w:rPr>
              <w:t>代表签字：</w:t>
            </w:r>
          </w:p>
        </w:tc>
        <w:tc>
          <w:tcPr>
            <w:tcW w:w="5766" w:type="dxa"/>
            <w:noWrap w:val="0"/>
            <w:vAlign w:val="top"/>
          </w:tcPr>
          <w:p w14:paraId="0D0362DD">
            <w:pPr>
              <w:spacing w:line="420" w:lineRule="exact"/>
              <w:rPr>
                <w:rFonts w:hint="eastAsia" w:ascii="黑体" w:hAnsi="黑体" w:eastAsia="黑体" w:cs="黑体"/>
                <w:color w:val="auto"/>
                <w:sz w:val="24"/>
              </w:rPr>
            </w:pPr>
            <w:r>
              <w:rPr>
                <w:rFonts w:hint="eastAsia" w:ascii="黑体" w:hAnsi="黑体" w:eastAsia="黑体" w:cs="黑体"/>
                <w:color w:val="auto"/>
                <w:sz w:val="24"/>
              </w:rPr>
              <w:t>乙方（华中国际认证检验集团有限公司）（盖章）</w:t>
            </w:r>
          </w:p>
          <w:p w14:paraId="159C6F44">
            <w:pPr>
              <w:widowControl/>
              <w:spacing w:line="420" w:lineRule="exact"/>
              <w:jc w:val="left"/>
              <w:rPr>
                <w:rFonts w:hint="eastAsia" w:ascii="黑体" w:hAnsi="黑体" w:eastAsia="黑体" w:cs="黑体"/>
                <w:color w:val="auto"/>
                <w:sz w:val="24"/>
              </w:rPr>
            </w:pPr>
            <w:r>
              <w:rPr>
                <w:rFonts w:hint="eastAsia" w:ascii="黑体" w:hAnsi="黑体" w:eastAsia="黑体" w:cs="黑体"/>
                <w:color w:val="auto"/>
                <w:sz w:val="24"/>
              </w:rPr>
              <w:t>代表签字：</w:t>
            </w:r>
          </w:p>
        </w:tc>
      </w:tr>
      <w:tr w14:paraId="208DC05F">
        <w:tblPrEx>
          <w:tblCellMar>
            <w:top w:w="0" w:type="dxa"/>
            <w:left w:w="108" w:type="dxa"/>
            <w:bottom w:w="0" w:type="dxa"/>
            <w:right w:w="108" w:type="dxa"/>
          </w:tblCellMar>
        </w:tblPrEx>
        <w:tc>
          <w:tcPr>
            <w:tcW w:w="4725" w:type="dxa"/>
            <w:noWrap w:val="0"/>
            <w:vAlign w:val="top"/>
          </w:tcPr>
          <w:p w14:paraId="2DABC7F5">
            <w:pPr>
              <w:spacing w:line="420" w:lineRule="exact"/>
              <w:ind w:left="0" w:leftChars="0" w:firstLine="0" w:firstLineChars="0"/>
              <w:rPr>
                <w:rFonts w:hint="eastAsia" w:ascii="黑体" w:hAnsi="黑体" w:eastAsia="黑体" w:cs="黑体"/>
                <w:color w:val="auto"/>
                <w:sz w:val="24"/>
              </w:rPr>
            </w:pPr>
            <w:r>
              <w:rPr>
                <w:rFonts w:hint="eastAsia" w:ascii="黑体" w:hAnsi="黑体" w:eastAsia="黑体" w:cs="黑体"/>
                <w:color w:val="auto"/>
                <w:sz w:val="22"/>
              </w:rPr>
              <w:t>日期：</w:t>
            </w:r>
            <w:r>
              <w:rPr>
                <w:rFonts w:hint="eastAsia" w:ascii="黑体" w:hAnsi="黑体" w:eastAsia="黑体" w:cs="黑体"/>
                <w:color w:val="auto"/>
                <w:sz w:val="22"/>
                <w:u w:val="single"/>
              </w:rPr>
              <w:t xml:space="preserve">         </w:t>
            </w:r>
            <w:r>
              <w:rPr>
                <w:rFonts w:hint="eastAsia" w:ascii="黑体" w:hAnsi="黑体" w:eastAsia="黑体" w:cs="黑体"/>
                <w:color w:val="auto"/>
                <w:sz w:val="22"/>
              </w:rPr>
              <w:t xml:space="preserve"> 年</w:t>
            </w:r>
            <w:r>
              <w:rPr>
                <w:rFonts w:hint="eastAsia" w:ascii="黑体" w:hAnsi="黑体" w:eastAsia="黑体" w:cs="黑体"/>
                <w:color w:val="auto"/>
                <w:sz w:val="22"/>
                <w:u w:val="single"/>
              </w:rPr>
              <w:t xml:space="preserve">       </w:t>
            </w:r>
            <w:r>
              <w:rPr>
                <w:rFonts w:hint="eastAsia" w:ascii="黑体" w:hAnsi="黑体" w:eastAsia="黑体" w:cs="黑体"/>
                <w:color w:val="auto"/>
                <w:sz w:val="22"/>
              </w:rPr>
              <w:t>月</w:t>
            </w:r>
            <w:r>
              <w:rPr>
                <w:rFonts w:hint="eastAsia" w:ascii="黑体" w:hAnsi="黑体" w:eastAsia="黑体" w:cs="黑体"/>
                <w:color w:val="auto"/>
                <w:sz w:val="22"/>
                <w:u w:val="single"/>
              </w:rPr>
              <w:t xml:space="preserve">      </w:t>
            </w:r>
            <w:r>
              <w:rPr>
                <w:rFonts w:hint="eastAsia" w:ascii="黑体" w:hAnsi="黑体" w:eastAsia="黑体" w:cs="黑体"/>
                <w:color w:val="auto"/>
                <w:sz w:val="22"/>
              </w:rPr>
              <w:t>日</w:t>
            </w:r>
          </w:p>
        </w:tc>
        <w:tc>
          <w:tcPr>
            <w:tcW w:w="5766" w:type="dxa"/>
            <w:noWrap w:val="0"/>
            <w:vAlign w:val="top"/>
          </w:tcPr>
          <w:p w14:paraId="35D8DB2F">
            <w:pPr>
              <w:spacing w:line="420" w:lineRule="exact"/>
              <w:rPr>
                <w:rFonts w:hint="eastAsia" w:ascii="黑体" w:hAnsi="黑体" w:eastAsia="黑体" w:cs="黑体"/>
                <w:color w:val="auto"/>
                <w:sz w:val="24"/>
              </w:rPr>
            </w:pPr>
            <w:r>
              <w:rPr>
                <w:rFonts w:hint="eastAsia" w:ascii="黑体" w:hAnsi="黑体" w:eastAsia="黑体" w:cs="黑体"/>
                <w:color w:val="auto"/>
                <w:sz w:val="22"/>
              </w:rPr>
              <w:t>日期：</w:t>
            </w:r>
            <w:r>
              <w:rPr>
                <w:rFonts w:hint="eastAsia" w:ascii="黑体" w:hAnsi="黑体" w:eastAsia="黑体" w:cs="黑体"/>
                <w:color w:val="auto"/>
                <w:sz w:val="22"/>
                <w:u w:val="single"/>
              </w:rPr>
              <w:t xml:space="preserve">         </w:t>
            </w:r>
            <w:r>
              <w:rPr>
                <w:rFonts w:hint="eastAsia" w:ascii="黑体" w:hAnsi="黑体" w:eastAsia="黑体" w:cs="黑体"/>
                <w:color w:val="auto"/>
                <w:sz w:val="22"/>
              </w:rPr>
              <w:t xml:space="preserve"> 年</w:t>
            </w:r>
            <w:r>
              <w:rPr>
                <w:rFonts w:hint="eastAsia" w:ascii="黑体" w:hAnsi="黑体" w:eastAsia="黑体" w:cs="黑体"/>
                <w:color w:val="auto"/>
                <w:sz w:val="22"/>
                <w:u w:val="single"/>
              </w:rPr>
              <w:t xml:space="preserve">       </w:t>
            </w:r>
            <w:r>
              <w:rPr>
                <w:rFonts w:hint="eastAsia" w:ascii="黑体" w:hAnsi="黑体" w:eastAsia="黑体" w:cs="黑体"/>
                <w:color w:val="auto"/>
                <w:sz w:val="22"/>
              </w:rPr>
              <w:t>月</w:t>
            </w:r>
            <w:r>
              <w:rPr>
                <w:rFonts w:hint="eastAsia" w:ascii="黑体" w:hAnsi="黑体" w:eastAsia="黑体" w:cs="黑体"/>
                <w:color w:val="auto"/>
                <w:sz w:val="22"/>
                <w:u w:val="single"/>
              </w:rPr>
              <w:t xml:space="preserve">      </w:t>
            </w:r>
            <w:r>
              <w:rPr>
                <w:rFonts w:hint="eastAsia" w:ascii="黑体" w:hAnsi="黑体" w:eastAsia="黑体" w:cs="黑体"/>
                <w:color w:val="auto"/>
                <w:sz w:val="22"/>
              </w:rPr>
              <w:t>日</w:t>
            </w:r>
          </w:p>
        </w:tc>
      </w:tr>
      <w:tr w14:paraId="0B13DBAF">
        <w:tblPrEx>
          <w:tblCellMar>
            <w:top w:w="0" w:type="dxa"/>
            <w:left w:w="108" w:type="dxa"/>
            <w:bottom w:w="0" w:type="dxa"/>
            <w:right w:w="108" w:type="dxa"/>
          </w:tblCellMar>
        </w:tblPrEx>
        <w:tc>
          <w:tcPr>
            <w:tcW w:w="4725" w:type="dxa"/>
            <w:noWrap w:val="0"/>
            <w:vAlign w:val="top"/>
          </w:tcPr>
          <w:p w14:paraId="7712E7D8">
            <w:pPr>
              <w:spacing w:line="420" w:lineRule="exact"/>
              <w:ind w:left="1440" w:hanging="1320" w:hangingChars="600"/>
              <w:rPr>
                <w:rFonts w:hint="eastAsia" w:ascii="黑体" w:hAnsi="黑体" w:eastAsia="黑体" w:cs="黑体"/>
                <w:color w:val="auto"/>
                <w:sz w:val="22"/>
              </w:rPr>
            </w:pPr>
            <w:r>
              <w:rPr>
                <w:rFonts w:hint="eastAsia" w:ascii="黑体" w:hAnsi="黑体" w:eastAsia="黑体" w:cs="黑体"/>
                <w:color w:val="auto"/>
                <w:sz w:val="22"/>
              </w:rPr>
              <w:t>企业类型：</w:t>
            </w:r>
            <w:r>
              <w:rPr>
                <w:rFonts w:hint="eastAsia" w:ascii="黑体" w:hAnsi="黑体" w:eastAsia="黑体" w:cs="黑体"/>
                <w:color w:val="auto"/>
                <w:sz w:val="22"/>
                <w:lang w:val="en-US" w:eastAsia="zh-CN"/>
              </w:rPr>
              <w:t>( )</w:t>
            </w:r>
            <w:r>
              <w:rPr>
                <w:rFonts w:hint="eastAsia" w:ascii="黑体" w:hAnsi="黑体" w:eastAsia="黑体" w:cs="黑体"/>
                <w:color w:val="auto"/>
                <w:sz w:val="22"/>
              </w:rPr>
              <w:t xml:space="preserve">一般纳税人   </w:t>
            </w:r>
            <w:r>
              <w:rPr>
                <w:rFonts w:hint="eastAsia" w:ascii="黑体" w:hAnsi="黑体" w:eastAsia="黑体" w:cs="黑体"/>
                <w:color w:val="auto"/>
                <w:sz w:val="22"/>
                <w:lang w:val="en-US" w:eastAsia="zh-CN"/>
              </w:rPr>
              <w:t>( )小规模</w:t>
            </w:r>
            <w:r>
              <w:rPr>
                <w:rFonts w:hint="eastAsia" w:ascii="黑体" w:hAnsi="黑体" w:eastAsia="黑体" w:cs="黑体"/>
                <w:color w:val="auto"/>
                <w:sz w:val="22"/>
              </w:rPr>
              <w:t xml:space="preserve">            </w:t>
            </w:r>
          </w:p>
          <w:p w14:paraId="343EA552">
            <w:pPr>
              <w:spacing w:line="420" w:lineRule="exact"/>
              <w:rPr>
                <w:rFonts w:hint="eastAsia" w:ascii="黑体" w:hAnsi="黑体" w:eastAsia="黑体" w:cs="黑体"/>
                <w:color w:val="auto"/>
                <w:sz w:val="22"/>
              </w:rPr>
            </w:pPr>
            <w:r>
              <w:rPr>
                <w:rFonts w:hint="eastAsia" w:ascii="黑体" w:hAnsi="黑体" w:eastAsia="黑体" w:cs="黑体"/>
                <w:color w:val="auto"/>
                <w:sz w:val="22"/>
              </w:rPr>
              <w:t>如甲方属于一般纳税人企业</w:t>
            </w:r>
            <w:r>
              <w:rPr>
                <w:rFonts w:hint="eastAsia" w:ascii="黑体" w:hAnsi="黑体" w:eastAsia="黑体" w:cs="黑体"/>
                <w:color w:val="auto"/>
                <w:sz w:val="22"/>
                <w:lang w:eastAsia="zh-CN"/>
              </w:rPr>
              <w:t>，</w:t>
            </w:r>
            <w:r>
              <w:rPr>
                <w:rFonts w:hint="eastAsia" w:ascii="黑体" w:hAnsi="黑体" w:eastAsia="黑体" w:cs="黑体"/>
                <w:color w:val="auto"/>
                <w:sz w:val="22"/>
              </w:rPr>
              <w:t xml:space="preserve">开具发票需提供： </w:t>
            </w:r>
          </w:p>
          <w:p w14:paraId="2F4DA284">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开票名称：</w:t>
            </w:r>
            <w:r>
              <w:rPr>
                <w:rFonts w:hint="eastAsia" w:ascii="黑体" w:hAnsi="黑体" w:eastAsia="黑体" w:cs="黑体"/>
                <w:color w:val="auto"/>
                <w:sz w:val="22"/>
                <w:u w:val="single"/>
              </w:rPr>
              <w:t xml:space="preserve">                                   </w:t>
            </w:r>
          </w:p>
          <w:p w14:paraId="1370FC5F">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开户银行：</w:t>
            </w:r>
            <w:r>
              <w:rPr>
                <w:rFonts w:hint="eastAsia" w:ascii="黑体" w:hAnsi="黑体" w:eastAsia="黑体" w:cs="黑体"/>
                <w:color w:val="auto"/>
                <w:sz w:val="22"/>
                <w:u w:val="single"/>
              </w:rPr>
              <w:t xml:space="preserve">                                   </w:t>
            </w:r>
          </w:p>
          <w:p w14:paraId="2877742E">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银行账号：</w:t>
            </w:r>
            <w:r>
              <w:rPr>
                <w:rFonts w:hint="eastAsia" w:ascii="黑体" w:hAnsi="黑体" w:eastAsia="黑体" w:cs="黑体"/>
                <w:color w:val="auto"/>
                <w:sz w:val="22"/>
                <w:u w:val="single"/>
              </w:rPr>
              <w:t xml:space="preserve">                                   </w:t>
            </w:r>
          </w:p>
          <w:p w14:paraId="368D33E8">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纳税人识别号：</w:t>
            </w:r>
            <w:r>
              <w:rPr>
                <w:rFonts w:hint="eastAsia" w:ascii="黑体" w:hAnsi="黑体" w:eastAsia="黑体" w:cs="黑体"/>
                <w:color w:val="auto"/>
                <w:sz w:val="22"/>
                <w:u w:val="single"/>
              </w:rPr>
              <w:t xml:space="preserve">                               </w:t>
            </w:r>
          </w:p>
          <w:p w14:paraId="19210F16">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开票地址：</w:t>
            </w:r>
            <w:r>
              <w:rPr>
                <w:rFonts w:hint="eastAsia" w:ascii="黑体" w:hAnsi="黑体" w:eastAsia="黑体" w:cs="黑体"/>
                <w:color w:val="auto"/>
                <w:sz w:val="22"/>
                <w:u w:val="single"/>
              </w:rPr>
              <w:t xml:space="preserve">                             </w:t>
            </w:r>
          </w:p>
          <w:p w14:paraId="1FC2EF17">
            <w:pPr>
              <w:spacing w:line="420" w:lineRule="exact"/>
              <w:rPr>
                <w:rFonts w:hint="eastAsia" w:ascii="黑体" w:hAnsi="黑体" w:eastAsia="黑体" w:cs="黑体"/>
                <w:color w:val="auto"/>
                <w:sz w:val="22"/>
                <w:u w:val="single"/>
              </w:rPr>
            </w:pPr>
            <w:r>
              <w:rPr>
                <w:rFonts w:hint="eastAsia" w:ascii="黑体" w:hAnsi="黑体" w:eastAsia="黑体" w:cs="黑体"/>
                <w:color w:val="auto"/>
                <w:sz w:val="22"/>
              </w:rPr>
              <w:t>联系电话：</w:t>
            </w:r>
            <w:r>
              <w:rPr>
                <w:rFonts w:hint="eastAsia" w:ascii="黑体" w:hAnsi="黑体" w:eastAsia="黑体" w:cs="黑体"/>
                <w:color w:val="auto"/>
                <w:sz w:val="22"/>
                <w:u w:val="single"/>
              </w:rPr>
              <w:t xml:space="preserve">                              </w:t>
            </w:r>
          </w:p>
          <w:p w14:paraId="3190D64E">
            <w:pPr>
              <w:spacing w:line="420" w:lineRule="exact"/>
              <w:rPr>
                <w:rFonts w:hint="eastAsia" w:ascii="黑体" w:hAnsi="黑体" w:eastAsia="黑体" w:cs="黑体"/>
                <w:color w:val="auto"/>
                <w:sz w:val="22"/>
              </w:rPr>
            </w:pPr>
            <w:r>
              <w:rPr>
                <w:rFonts w:hint="eastAsia" w:ascii="黑体" w:hAnsi="黑体" w:eastAsia="黑体" w:cs="黑体"/>
                <w:color w:val="auto"/>
                <w:sz w:val="22"/>
              </w:rPr>
              <w:t xml:space="preserve">资质证明：一般纳税人认定表                          </w:t>
            </w:r>
          </w:p>
        </w:tc>
        <w:tc>
          <w:tcPr>
            <w:tcW w:w="5766" w:type="dxa"/>
            <w:noWrap w:val="0"/>
            <w:vAlign w:val="top"/>
          </w:tcPr>
          <w:p w14:paraId="355AEC70">
            <w:pPr>
              <w:spacing w:line="420" w:lineRule="exact"/>
              <w:rPr>
                <w:rFonts w:hint="eastAsia" w:ascii="黑体" w:hAnsi="黑体" w:eastAsia="黑体" w:cs="黑体"/>
                <w:color w:val="auto"/>
                <w:spacing w:val="-16"/>
                <w:sz w:val="22"/>
              </w:rPr>
            </w:pPr>
            <w:r>
              <w:rPr>
                <w:rFonts w:hint="eastAsia" w:ascii="黑体" w:hAnsi="黑体" w:eastAsia="黑体" w:cs="黑体"/>
                <w:color w:val="auto"/>
                <w:sz w:val="22"/>
              </w:rPr>
              <w:t>通讯地址：</w:t>
            </w:r>
            <w:r>
              <w:rPr>
                <w:rFonts w:hint="eastAsia" w:ascii="黑体" w:hAnsi="黑体" w:eastAsia="黑体" w:cs="黑体"/>
                <w:color w:val="auto"/>
                <w:spacing w:val="-16"/>
                <w:sz w:val="22"/>
              </w:rPr>
              <w:t xml:space="preserve">南昌市西湖区站前路96号天集大厦22楼          </w:t>
            </w:r>
          </w:p>
          <w:p w14:paraId="21FFA053">
            <w:pPr>
              <w:spacing w:line="420" w:lineRule="exact"/>
              <w:ind w:left="940" w:hanging="940" w:hangingChars="500"/>
              <w:rPr>
                <w:rFonts w:hint="eastAsia" w:ascii="黑体" w:hAnsi="黑体" w:eastAsia="黑体" w:cs="黑体"/>
                <w:color w:val="auto"/>
                <w:sz w:val="22"/>
              </w:rPr>
            </w:pPr>
            <w:r>
              <w:rPr>
                <w:rFonts w:hint="eastAsia" w:ascii="黑体" w:hAnsi="黑体" w:eastAsia="黑体" w:cs="黑体"/>
                <w:color w:val="auto"/>
                <w:spacing w:val="-16"/>
                <w:sz w:val="22"/>
              </w:rPr>
              <w:t>邮政编码：330002</w:t>
            </w:r>
            <w:r>
              <w:rPr>
                <w:rFonts w:hint="eastAsia" w:ascii="黑体" w:hAnsi="黑体" w:eastAsia="黑体" w:cs="黑体"/>
                <w:color w:val="auto"/>
                <w:sz w:val="22"/>
              </w:rPr>
              <w:t xml:space="preserve">           </w:t>
            </w:r>
          </w:p>
          <w:p w14:paraId="511E0FA7">
            <w:pPr>
              <w:spacing w:line="420" w:lineRule="exact"/>
              <w:rPr>
                <w:rFonts w:hint="eastAsia" w:ascii="黑体" w:hAnsi="黑体" w:eastAsia="黑体" w:cs="黑体"/>
                <w:color w:val="auto"/>
                <w:sz w:val="22"/>
              </w:rPr>
            </w:pPr>
            <w:r>
              <w:rPr>
                <w:rFonts w:hint="eastAsia" w:ascii="黑体" w:hAnsi="黑体" w:eastAsia="黑体" w:cs="黑体"/>
                <w:color w:val="auto"/>
                <w:spacing w:val="-16"/>
                <w:sz w:val="22"/>
              </w:rPr>
              <w:t>客服部</w:t>
            </w:r>
            <w:r>
              <w:rPr>
                <w:rFonts w:hint="eastAsia" w:ascii="黑体" w:hAnsi="黑体" w:eastAsia="黑体" w:cs="黑体"/>
                <w:color w:val="auto"/>
                <w:spacing w:val="-20"/>
                <w:sz w:val="22"/>
              </w:rPr>
              <w:t>电话Tel</w:t>
            </w:r>
            <w:r>
              <w:rPr>
                <w:rFonts w:hint="eastAsia" w:ascii="黑体" w:hAnsi="黑体" w:eastAsia="黑体" w:cs="黑体"/>
                <w:color w:val="auto"/>
                <w:sz w:val="22"/>
              </w:rPr>
              <w:t xml:space="preserve">：400 168 5666 </w:t>
            </w:r>
          </w:p>
          <w:p w14:paraId="4A6B2854">
            <w:pPr>
              <w:spacing w:line="420" w:lineRule="exact"/>
              <w:rPr>
                <w:rFonts w:hint="eastAsia" w:ascii="黑体" w:hAnsi="黑体" w:eastAsia="黑体" w:cs="黑体"/>
                <w:color w:val="auto"/>
                <w:sz w:val="22"/>
              </w:rPr>
            </w:pPr>
            <w:r>
              <w:rPr>
                <w:rFonts w:hint="eastAsia" w:ascii="黑体" w:hAnsi="黑体" w:eastAsia="黑体" w:cs="黑体"/>
                <w:color w:val="auto"/>
                <w:spacing w:val="-20"/>
                <w:sz w:val="22"/>
              </w:rPr>
              <w:t>传真Fax</w:t>
            </w:r>
            <w:r>
              <w:rPr>
                <w:rFonts w:hint="eastAsia" w:ascii="黑体" w:hAnsi="黑体" w:eastAsia="黑体" w:cs="黑体"/>
                <w:color w:val="auto"/>
                <w:sz w:val="22"/>
              </w:rPr>
              <w:t xml:space="preserve">：（0791）86121603                 </w:t>
            </w:r>
          </w:p>
          <w:p w14:paraId="572C07CE">
            <w:pPr>
              <w:spacing w:line="420" w:lineRule="exact"/>
              <w:rPr>
                <w:rFonts w:hint="eastAsia" w:ascii="黑体" w:hAnsi="黑体" w:eastAsia="黑体" w:cs="黑体"/>
                <w:color w:val="auto"/>
                <w:sz w:val="22"/>
              </w:rPr>
            </w:pPr>
            <w:r>
              <w:rPr>
                <w:rFonts w:hint="eastAsia" w:ascii="黑体" w:hAnsi="黑体" w:eastAsia="黑体" w:cs="黑体"/>
                <w:color w:val="auto"/>
                <w:sz w:val="22"/>
              </w:rPr>
              <w:t xml:space="preserve">E-mail：hzkf@huazhongjt.com                              </w:t>
            </w:r>
          </w:p>
          <w:p w14:paraId="4CE7B50F">
            <w:pPr>
              <w:spacing w:line="420" w:lineRule="exact"/>
              <w:rPr>
                <w:rFonts w:hint="eastAsia" w:ascii="黑体" w:hAnsi="黑体" w:eastAsia="黑体" w:cs="黑体"/>
                <w:color w:val="auto"/>
                <w:sz w:val="22"/>
              </w:rPr>
            </w:pPr>
            <w:r>
              <w:rPr>
                <w:rFonts w:hint="eastAsia" w:ascii="黑体" w:hAnsi="黑体" w:eastAsia="黑体" w:cs="黑体"/>
                <w:color w:val="auto"/>
                <w:sz w:val="22"/>
              </w:rPr>
              <w:t>网址：www.huazhongjt.com、www.hzjt666.com</w:t>
            </w:r>
          </w:p>
          <w:p w14:paraId="1C8DE970">
            <w:pPr>
              <w:spacing w:line="420" w:lineRule="exact"/>
              <w:rPr>
                <w:rFonts w:hint="eastAsia" w:ascii="黑体" w:hAnsi="黑体" w:eastAsia="黑体" w:cs="黑体"/>
                <w:color w:val="auto"/>
                <w:sz w:val="22"/>
              </w:rPr>
            </w:pPr>
            <w:r>
              <w:rPr>
                <w:rFonts w:hint="eastAsia" w:ascii="黑体" w:hAnsi="黑体" w:eastAsia="黑体" w:cs="黑体"/>
                <w:color w:val="auto"/>
                <w:sz w:val="22"/>
              </w:rPr>
              <w:t>开户银行：招商银行南昌分行铁路支行</w:t>
            </w:r>
          </w:p>
          <w:p w14:paraId="5CAAF53C">
            <w:pPr>
              <w:spacing w:line="420" w:lineRule="exact"/>
              <w:rPr>
                <w:rFonts w:hint="eastAsia" w:ascii="黑体" w:hAnsi="黑体" w:eastAsia="黑体" w:cs="黑体"/>
                <w:color w:val="auto"/>
                <w:sz w:val="22"/>
              </w:rPr>
            </w:pPr>
            <w:r>
              <w:rPr>
                <w:rFonts w:hint="eastAsia" w:ascii="黑体" w:hAnsi="黑体" w:eastAsia="黑体" w:cs="黑体"/>
                <w:color w:val="auto"/>
                <w:sz w:val="22"/>
              </w:rPr>
              <w:t>收款单位：华中国际认证检验集团有限公司</w:t>
            </w:r>
          </w:p>
          <w:p w14:paraId="0CE8A1C6">
            <w:pPr>
              <w:spacing w:line="420" w:lineRule="exact"/>
              <w:rPr>
                <w:rFonts w:hint="eastAsia" w:ascii="黑体" w:hAnsi="黑体" w:eastAsia="黑体" w:cs="黑体"/>
                <w:color w:val="auto"/>
                <w:sz w:val="22"/>
              </w:rPr>
            </w:pPr>
            <w:r>
              <w:rPr>
                <w:rFonts w:hint="eastAsia" w:ascii="黑体" w:hAnsi="黑体" w:eastAsia="黑体" w:cs="黑体"/>
                <w:color w:val="auto"/>
                <w:sz w:val="22"/>
              </w:rPr>
              <w:t>银行账号：7919 0492 5410 401</w:t>
            </w:r>
          </w:p>
        </w:tc>
      </w:tr>
    </w:tbl>
    <w:p w14:paraId="1771F0C1">
      <w:pPr>
        <w:rPr>
          <w:color w:val="auto"/>
        </w:rPr>
      </w:pPr>
    </w:p>
    <w:sectPr>
      <w:pgSz w:w="11906" w:h="16838"/>
      <w:pgMar w:top="1440" w:right="1080" w:bottom="1213"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9E47">
    <w:pPr>
      <w:pStyle w:val="2"/>
    </w:pPr>
    <w:r>
      <w:drawing>
        <wp:anchor distT="0" distB="0" distL="114300" distR="114300" simplePos="0" relativeHeight="251661312" behindDoc="0" locked="0" layoutInCell="1" allowOverlap="1">
          <wp:simplePos x="0" y="0"/>
          <wp:positionH relativeFrom="margin">
            <wp:posOffset>3164840</wp:posOffset>
          </wp:positionH>
          <wp:positionV relativeFrom="margin">
            <wp:posOffset>9469120</wp:posOffset>
          </wp:positionV>
          <wp:extent cx="4189730" cy="70485"/>
          <wp:effectExtent l="0" t="0" r="1270" b="5715"/>
          <wp:wrapSquare wrapText="bothSides"/>
          <wp:docPr id="159009776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9776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89730" cy="7048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-292735</wp:posOffset>
          </wp:positionH>
          <wp:positionV relativeFrom="paragraph">
            <wp:posOffset>288925</wp:posOffset>
          </wp:positionV>
          <wp:extent cx="3989070" cy="301625"/>
          <wp:effectExtent l="0" t="0" r="0" b="3175"/>
          <wp:wrapNone/>
          <wp:docPr id="17743043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0434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89070" cy="301625"/>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28B6">
    <w:pPr>
      <w:widowControl/>
      <w:jc w:val="left"/>
      <w:rPr>
        <w:rFonts w:ascii="宋体" w:hAnsi="宋体" w:cs="宋体"/>
        <w:kern w:val="0"/>
        <w:sz w:val="24"/>
        <w:szCs w:val="24"/>
      </w:rPr>
    </w:pPr>
    <w:r>
      <w:drawing>
        <wp:anchor distT="0" distB="0" distL="114300" distR="114300" simplePos="0" relativeHeight="251660288" behindDoc="0" locked="0" layoutInCell="1" allowOverlap="1">
          <wp:simplePos x="0" y="0"/>
          <wp:positionH relativeFrom="margin">
            <wp:posOffset>1762125</wp:posOffset>
          </wp:positionH>
          <wp:positionV relativeFrom="margin">
            <wp:posOffset>-492760</wp:posOffset>
          </wp:positionV>
          <wp:extent cx="5274310" cy="69215"/>
          <wp:effectExtent l="0" t="0" r="13970" b="6985"/>
          <wp:wrapSquare wrapText="bothSides"/>
          <wp:docPr id="149024368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43688"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69215"/>
                  </a:xfrm>
                  <a:prstGeom prst="rect">
                    <a:avLst/>
                  </a:prstGeom>
                </pic:spPr>
              </pic:pic>
            </a:graphicData>
          </a:graphic>
        </wp:anchor>
      </w:drawing>
    </w:r>
  </w:p>
  <w:p w14:paraId="4E5089FC">
    <w:pPr>
      <w:pStyle w:val="3"/>
      <w:pBdr>
        <w:bottom w:val="none" w:color="auto" w:sz="0" w:space="0"/>
      </w:pBdr>
      <w:jc w:val="both"/>
    </w:pPr>
    <w:r>
      <w:drawing>
        <wp:anchor distT="0" distB="0" distL="114300" distR="114300" simplePos="0" relativeHeight="251659264" behindDoc="0" locked="0" layoutInCell="1" allowOverlap="1">
          <wp:simplePos x="0" y="0"/>
          <wp:positionH relativeFrom="column">
            <wp:posOffset>-293370</wp:posOffset>
          </wp:positionH>
          <wp:positionV relativeFrom="paragraph">
            <wp:posOffset>-495300</wp:posOffset>
          </wp:positionV>
          <wp:extent cx="1508760" cy="398145"/>
          <wp:effectExtent l="0" t="0" r="0" b="13335"/>
          <wp:wrapSquare wrapText="bothSides"/>
          <wp:docPr id="20654069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06969"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08760" cy="3981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662C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ODQwNTI3MTkwNjdhZTc3MTEwYzM5NmE2ZmMyMjgifQ=="/>
  </w:docVars>
  <w:rsids>
    <w:rsidRoot w:val="00941234"/>
    <w:rsid w:val="00040947"/>
    <w:rsid w:val="00070896"/>
    <w:rsid w:val="000C15CA"/>
    <w:rsid w:val="000F0EAF"/>
    <w:rsid w:val="00161C44"/>
    <w:rsid w:val="001648B8"/>
    <w:rsid w:val="00166749"/>
    <w:rsid w:val="00186DB3"/>
    <w:rsid w:val="00190EA0"/>
    <w:rsid w:val="00197646"/>
    <w:rsid w:val="001C6127"/>
    <w:rsid w:val="001D3701"/>
    <w:rsid w:val="00225A30"/>
    <w:rsid w:val="00254677"/>
    <w:rsid w:val="00262B5E"/>
    <w:rsid w:val="00285BF2"/>
    <w:rsid w:val="002E1419"/>
    <w:rsid w:val="002E761B"/>
    <w:rsid w:val="002F47D2"/>
    <w:rsid w:val="00306141"/>
    <w:rsid w:val="00342DD8"/>
    <w:rsid w:val="003C1599"/>
    <w:rsid w:val="003D2E98"/>
    <w:rsid w:val="0040726B"/>
    <w:rsid w:val="004449ED"/>
    <w:rsid w:val="0045771D"/>
    <w:rsid w:val="00487EB6"/>
    <w:rsid w:val="004A1405"/>
    <w:rsid w:val="005A5324"/>
    <w:rsid w:val="005B7332"/>
    <w:rsid w:val="005C4C48"/>
    <w:rsid w:val="005E5F12"/>
    <w:rsid w:val="00651549"/>
    <w:rsid w:val="00695CF6"/>
    <w:rsid w:val="006E23F0"/>
    <w:rsid w:val="007419AC"/>
    <w:rsid w:val="00783F17"/>
    <w:rsid w:val="007E4A92"/>
    <w:rsid w:val="007E63C2"/>
    <w:rsid w:val="007F4D57"/>
    <w:rsid w:val="00803ADB"/>
    <w:rsid w:val="00875596"/>
    <w:rsid w:val="008F7B20"/>
    <w:rsid w:val="00941234"/>
    <w:rsid w:val="009555DD"/>
    <w:rsid w:val="00A13E2B"/>
    <w:rsid w:val="00A2148C"/>
    <w:rsid w:val="00A71C52"/>
    <w:rsid w:val="00AC6E35"/>
    <w:rsid w:val="00B04DCD"/>
    <w:rsid w:val="00B70DE5"/>
    <w:rsid w:val="00B71F85"/>
    <w:rsid w:val="00BC2DDB"/>
    <w:rsid w:val="00BD6FBC"/>
    <w:rsid w:val="00C2733E"/>
    <w:rsid w:val="00C42DD7"/>
    <w:rsid w:val="00C45340"/>
    <w:rsid w:val="00C83525"/>
    <w:rsid w:val="00CE423D"/>
    <w:rsid w:val="00D10BAD"/>
    <w:rsid w:val="00DF65F6"/>
    <w:rsid w:val="00E138F1"/>
    <w:rsid w:val="00E311BD"/>
    <w:rsid w:val="00E516DF"/>
    <w:rsid w:val="00E70351"/>
    <w:rsid w:val="00E77431"/>
    <w:rsid w:val="00EA6EA2"/>
    <w:rsid w:val="00ED0CFF"/>
    <w:rsid w:val="00EE57BE"/>
    <w:rsid w:val="00EE7176"/>
    <w:rsid w:val="00EF1BC2"/>
    <w:rsid w:val="00F0000A"/>
    <w:rsid w:val="00F503DA"/>
    <w:rsid w:val="00F677C8"/>
    <w:rsid w:val="00F73775"/>
    <w:rsid w:val="00FE258F"/>
    <w:rsid w:val="00FE3DD1"/>
    <w:rsid w:val="03041CDA"/>
    <w:rsid w:val="05F55D71"/>
    <w:rsid w:val="0CC66DAB"/>
    <w:rsid w:val="0D290438"/>
    <w:rsid w:val="0F9C7452"/>
    <w:rsid w:val="10340312"/>
    <w:rsid w:val="11FF376C"/>
    <w:rsid w:val="13010C5B"/>
    <w:rsid w:val="14A53290"/>
    <w:rsid w:val="14AF7182"/>
    <w:rsid w:val="16C11788"/>
    <w:rsid w:val="17DA249A"/>
    <w:rsid w:val="180638CA"/>
    <w:rsid w:val="1B2A1015"/>
    <w:rsid w:val="1BA97E0A"/>
    <w:rsid w:val="1D5850A4"/>
    <w:rsid w:val="1F694454"/>
    <w:rsid w:val="1FFEA907"/>
    <w:rsid w:val="257A51E4"/>
    <w:rsid w:val="25EF3BE3"/>
    <w:rsid w:val="260F5D4E"/>
    <w:rsid w:val="266C7C4F"/>
    <w:rsid w:val="279F9ADD"/>
    <w:rsid w:val="28DF040E"/>
    <w:rsid w:val="299A214E"/>
    <w:rsid w:val="29B71E9B"/>
    <w:rsid w:val="2C604BF4"/>
    <w:rsid w:val="2CC5074A"/>
    <w:rsid w:val="2D3D1758"/>
    <w:rsid w:val="2DAC3E05"/>
    <w:rsid w:val="2E3E0FDD"/>
    <w:rsid w:val="30A843E7"/>
    <w:rsid w:val="30F11A5E"/>
    <w:rsid w:val="31F531B3"/>
    <w:rsid w:val="33873B9A"/>
    <w:rsid w:val="33EBDC64"/>
    <w:rsid w:val="35BFDAED"/>
    <w:rsid w:val="36D52E06"/>
    <w:rsid w:val="36FB7411"/>
    <w:rsid w:val="376FFFD2"/>
    <w:rsid w:val="382D5971"/>
    <w:rsid w:val="39302A23"/>
    <w:rsid w:val="39466937"/>
    <w:rsid w:val="3AD9EF4E"/>
    <w:rsid w:val="3C9F201D"/>
    <w:rsid w:val="3D5742AE"/>
    <w:rsid w:val="3E621B27"/>
    <w:rsid w:val="3E7D5B22"/>
    <w:rsid w:val="3F670E7F"/>
    <w:rsid w:val="417C7C6E"/>
    <w:rsid w:val="428C4DF2"/>
    <w:rsid w:val="428E3979"/>
    <w:rsid w:val="450042AB"/>
    <w:rsid w:val="47BF5C1A"/>
    <w:rsid w:val="47FE7A46"/>
    <w:rsid w:val="4C8F18CC"/>
    <w:rsid w:val="4DBFB362"/>
    <w:rsid w:val="4E036F99"/>
    <w:rsid w:val="4FD63142"/>
    <w:rsid w:val="51386897"/>
    <w:rsid w:val="51723824"/>
    <w:rsid w:val="52FB42EE"/>
    <w:rsid w:val="53B021F9"/>
    <w:rsid w:val="53C4575C"/>
    <w:rsid w:val="54F73176"/>
    <w:rsid w:val="557874F2"/>
    <w:rsid w:val="57693BA6"/>
    <w:rsid w:val="57EB014F"/>
    <w:rsid w:val="5A4D6C1A"/>
    <w:rsid w:val="5A7FF726"/>
    <w:rsid w:val="5B2E1621"/>
    <w:rsid w:val="5B497120"/>
    <w:rsid w:val="5C207A9F"/>
    <w:rsid w:val="5E187703"/>
    <w:rsid w:val="5F3F8591"/>
    <w:rsid w:val="62503593"/>
    <w:rsid w:val="63112876"/>
    <w:rsid w:val="65197C11"/>
    <w:rsid w:val="65A26253"/>
    <w:rsid w:val="66F9C8E5"/>
    <w:rsid w:val="67471007"/>
    <w:rsid w:val="67EE14A3"/>
    <w:rsid w:val="69F76D1E"/>
    <w:rsid w:val="6A944D42"/>
    <w:rsid w:val="6BFC18DA"/>
    <w:rsid w:val="6C305CF1"/>
    <w:rsid w:val="6F83364D"/>
    <w:rsid w:val="6FEEB24A"/>
    <w:rsid w:val="6FFDB1E9"/>
    <w:rsid w:val="6FFDCB90"/>
    <w:rsid w:val="71532687"/>
    <w:rsid w:val="71EA20F1"/>
    <w:rsid w:val="7272E389"/>
    <w:rsid w:val="72CD2BC3"/>
    <w:rsid w:val="72EB07E3"/>
    <w:rsid w:val="72F53250"/>
    <w:rsid w:val="73FFEA29"/>
    <w:rsid w:val="75F81C91"/>
    <w:rsid w:val="76A705D2"/>
    <w:rsid w:val="78EFD2D4"/>
    <w:rsid w:val="79311880"/>
    <w:rsid w:val="79F87D8F"/>
    <w:rsid w:val="7BD57099"/>
    <w:rsid w:val="7BE3EB98"/>
    <w:rsid w:val="7BF78142"/>
    <w:rsid w:val="7C7E07C2"/>
    <w:rsid w:val="7D60633F"/>
    <w:rsid w:val="7D9B629E"/>
    <w:rsid w:val="7DEF89AE"/>
    <w:rsid w:val="7DFF5DF4"/>
    <w:rsid w:val="7EDBCB83"/>
    <w:rsid w:val="7EFF1509"/>
    <w:rsid w:val="7F3E3897"/>
    <w:rsid w:val="7FBB1B4F"/>
    <w:rsid w:val="7FBDF152"/>
    <w:rsid w:val="7FBF1E63"/>
    <w:rsid w:val="9196511E"/>
    <w:rsid w:val="9AE91A35"/>
    <w:rsid w:val="9DDABDEF"/>
    <w:rsid w:val="9FB1C0C0"/>
    <w:rsid w:val="ACFFAD07"/>
    <w:rsid w:val="B6FF1411"/>
    <w:rsid w:val="BC732EC5"/>
    <w:rsid w:val="BDF57C39"/>
    <w:rsid w:val="D7DF6491"/>
    <w:rsid w:val="D8A6F024"/>
    <w:rsid w:val="DE7F7E48"/>
    <w:rsid w:val="DEDF611D"/>
    <w:rsid w:val="DF7F72F6"/>
    <w:rsid w:val="DFBF381C"/>
    <w:rsid w:val="E7A50737"/>
    <w:rsid w:val="EA5E3523"/>
    <w:rsid w:val="EBBF50A2"/>
    <w:rsid w:val="EDA772E3"/>
    <w:rsid w:val="EEFD9BD5"/>
    <w:rsid w:val="F76BA48C"/>
    <w:rsid w:val="F7AB47D0"/>
    <w:rsid w:val="F7DBA9FA"/>
    <w:rsid w:val="F9745DAA"/>
    <w:rsid w:val="F9F6526E"/>
    <w:rsid w:val="FDE7C7E6"/>
    <w:rsid w:val="FE795103"/>
    <w:rsid w:val="FF669C5A"/>
    <w:rsid w:val="FF7DC315"/>
    <w:rsid w:val="FFCF5723"/>
    <w:rsid w:val="FFF9D4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Hyperlink"/>
    <w:qFormat/>
    <w:uiPriority w:val="0"/>
    <w:rPr>
      <w:color w:val="0000FF"/>
      <w:u w:val="single"/>
    </w:rPr>
  </w:style>
  <w:style w:type="character" w:customStyle="1" w:styleId="7">
    <w:name w:val="_Style 6"/>
    <w:qFormat/>
    <w:uiPriority w:val="19"/>
    <w:rPr>
      <w:i/>
      <w:iCs/>
      <w:color w:val="808080"/>
    </w:rPr>
  </w:style>
  <w:style w:type="paragraph" w:styleId="8">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9</Pages>
  <Words>7329</Words>
  <Characters>7641</Characters>
  <Lines>23</Lines>
  <Paragraphs>6</Paragraphs>
  <TotalTime>5</TotalTime>
  <ScaleCrop>false</ScaleCrop>
  <LinksUpToDate>false</LinksUpToDate>
  <CharactersWithSpaces>8679</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2019-01-26T15:30:00Z</dcterms:created>
  <dc:creator>admin</dc:creator>
  <cp:lastModifiedBy>蓬蒿人</cp:lastModifiedBy>
  <cp:lastPrinted>2018-12-30T10:56:00Z</cp:lastPrinted>
  <dcterms:modified xsi:type="dcterms:W3CDTF">2026-03-03T03:37:51Z</dcterms:modified>
  <dc:title>ZNCX-01-3-1/B                      建档编号：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ED7C157F63594830B53EC1718E1A76D5_13</vt:lpwstr>
  </property>
  <property fmtid="{D5CDD505-2E9C-101B-9397-08002B2CF9AE}" pid="4" name="KSOTemplateDocerSaveRecord">
    <vt:lpwstr>eyJoZGlkIjoiMDc2OGMwM2I1NjlhMDgwYjAwNjI0ODQxYWExYzZkNTYiLCJ1c2VySWQiOiIzNTA1MjkyNjEifQ==</vt:lpwstr>
  </property>
</Properties>
</file>